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F" w:rsidRDefault="000741BF">
      <w:pPr>
        <w:spacing w:line="211" w:lineRule="exact"/>
        <w:rPr>
          <w:sz w:val="24"/>
          <w:szCs w:val="24"/>
        </w:rPr>
      </w:pPr>
    </w:p>
    <w:p w:rsidR="000741BF" w:rsidRDefault="00D86A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Employment</w:t>
      </w:r>
    </w:p>
    <w:p w:rsidR="000741BF" w:rsidRDefault="00D86A56">
      <w:pPr>
        <w:spacing w:line="26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141605</wp:posOffset>
                </wp:positionV>
                <wp:extent cx="60223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1.15pt" to="473.95pt,11.15pt" o:allowincell="f" strokecolor="#AAAAAA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135890</wp:posOffset>
                </wp:positionV>
                <wp:extent cx="13335" cy="152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524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73.3pt;margin-top:10.7pt;width:1.05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137160</wp:posOffset>
                </wp:positionV>
                <wp:extent cx="60223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0.8pt" to="473.95pt,10.8pt" o:allowincell="f" strokecolor="#A0A0A0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135890</wp:posOffset>
                </wp:positionV>
                <wp:extent cx="0" cy="152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0.7pt" to="-0.1499pt,11.9pt" o:allowincell="f" strokecolor="#A0A0A0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149225</wp:posOffset>
                </wp:positionV>
                <wp:extent cx="60191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1.75pt" to="473.7pt,11.75pt" o:allowincell="f" strokecolor="#E3E3E3" strokeweight="0.2399pt"/>
            </w:pict>
          </mc:Fallback>
        </mc:AlternateContent>
      </w:r>
    </w:p>
    <w:p w:rsidR="000741BF" w:rsidRDefault="00D86A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Clinical Research Assistant, Surrey Clinical Research Centre</w:t>
      </w:r>
    </w:p>
    <w:p w:rsidR="000741BF" w:rsidRDefault="000741BF">
      <w:pPr>
        <w:spacing w:line="57" w:lineRule="exact"/>
        <w:rPr>
          <w:sz w:val="24"/>
          <w:szCs w:val="24"/>
        </w:rPr>
      </w:pPr>
    </w:p>
    <w:p w:rsidR="000741BF" w:rsidRDefault="00D86A56">
      <w:pPr>
        <w:tabs>
          <w:tab w:val="left" w:pos="728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University of Surrey, </w:t>
      </w:r>
      <w:r>
        <w:rPr>
          <w:rFonts w:ascii="Arial" w:eastAsia="Arial" w:hAnsi="Arial" w:cs="Arial"/>
        </w:rPr>
        <w:t>Guildford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June 2014 - Present</w:t>
      </w:r>
    </w:p>
    <w:p w:rsidR="000741BF" w:rsidRDefault="000741BF">
      <w:pPr>
        <w:spacing w:line="222" w:lineRule="exact"/>
        <w:rPr>
          <w:sz w:val="24"/>
          <w:szCs w:val="24"/>
        </w:rPr>
      </w:pPr>
    </w:p>
    <w:p w:rsidR="000741BF" w:rsidRDefault="00D86A56">
      <w:pPr>
        <w:spacing w:line="253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</w:rPr>
        <w:t xml:space="preserve">My role involves supporting clinical conduct within early phase vaccinology, sleep and wake, psychopharmacology, nutrition and oncology research at the Surrey Clinical Research Centre. I have been able to utilise and develop </w:t>
      </w:r>
      <w:r>
        <w:rPr>
          <w:rFonts w:ascii="Arial" w:eastAsia="Arial" w:hAnsi="Arial" w:cs="Arial"/>
        </w:rPr>
        <w:t>my clinical and research skills through the wide range of responsibilities encompassed within my role including:</w:t>
      </w:r>
    </w:p>
    <w:p w:rsidR="000741BF" w:rsidRDefault="000741BF">
      <w:pPr>
        <w:spacing w:line="3" w:lineRule="exact"/>
        <w:rPr>
          <w:sz w:val="24"/>
          <w:szCs w:val="24"/>
        </w:rPr>
      </w:pPr>
    </w:p>
    <w:p w:rsidR="000741BF" w:rsidRDefault="00D86A56">
      <w:pPr>
        <w:ind w:left="34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Working to good clinical practice standards</w:t>
      </w:r>
    </w:p>
    <w:p w:rsidR="000741BF" w:rsidRDefault="000741BF">
      <w:pPr>
        <w:spacing w:line="20" w:lineRule="exact"/>
        <w:rPr>
          <w:sz w:val="24"/>
          <w:szCs w:val="24"/>
        </w:rPr>
      </w:pPr>
    </w:p>
    <w:p w:rsidR="000741BF" w:rsidRDefault="00D86A56">
      <w:pPr>
        <w:spacing w:line="250" w:lineRule="auto"/>
        <w:ind w:left="700" w:right="8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Carrying out data collection utilising practical clinical competencies such as phlebotomy, </w:t>
      </w:r>
      <w:r>
        <w:rPr>
          <w:rFonts w:ascii="Arial" w:eastAsia="Arial" w:hAnsi="Arial" w:cs="Arial"/>
        </w:rPr>
        <w:t>recording ECGs, measuring vital signs and urinalysis tests.</w:t>
      </w:r>
    </w:p>
    <w:p w:rsidR="000741BF" w:rsidRDefault="00D86A56">
      <w:pPr>
        <w:spacing w:line="250" w:lineRule="auto"/>
        <w:ind w:left="700" w:right="460"/>
        <w:rPr>
          <w:sz w:val="24"/>
          <w:szCs w:val="24"/>
        </w:rPr>
      </w:pPr>
      <w:r>
        <w:rPr>
          <w:rFonts w:ascii="Arial" w:eastAsia="Arial" w:hAnsi="Arial" w:cs="Arial"/>
        </w:rPr>
        <w:t>Use of actiwatches to monitor sleep and wake cycles, such as calibrating watches, downloading data and analysing data to check for compliance to study requirements</w:t>
      </w:r>
    </w:p>
    <w:p w:rsidR="000741BF" w:rsidRDefault="00D86A56">
      <w:pPr>
        <w:ind w:left="34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Conducting psychometric testing </w:t>
      </w:r>
      <w:r>
        <w:rPr>
          <w:rFonts w:ascii="Arial" w:eastAsia="Arial" w:hAnsi="Arial" w:cs="Arial"/>
        </w:rPr>
        <w:t>and sleep questionnaires.</w:t>
      </w:r>
    </w:p>
    <w:p w:rsidR="000741BF" w:rsidRDefault="000741BF">
      <w:pPr>
        <w:spacing w:line="20" w:lineRule="exact"/>
        <w:rPr>
          <w:sz w:val="24"/>
          <w:szCs w:val="24"/>
        </w:rPr>
      </w:pPr>
    </w:p>
    <w:p w:rsidR="000741BF" w:rsidRDefault="00D86A56">
      <w:pPr>
        <w:spacing w:line="248" w:lineRule="auto"/>
        <w:ind w:left="700" w:right="180"/>
        <w:rPr>
          <w:sz w:val="24"/>
          <w:szCs w:val="24"/>
        </w:rPr>
      </w:pPr>
      <w:r>
        <w:rPr>
          <w:rFonts w:ascii="Arial" w:eastAsia="Arial" w:hAnsi="Arial" w:cs="Arial"/>
        </w:rPr>
        <w:t>Assisting with study project management such as creating and reviewing study specific protocols, participant information sheets and study documents, and completing ethics submission forms.</w:t>
      </w:r>
    </w:p>
    <w:p w:rsidR="000741BF" w:rsidRDefault="000741BF">
      <w:pPr>
        <w:spacing w:line="3" w:lineRule="exact"/>
        <w:rPr>
          <w:sz w:val="24"/>
          <w:szCs w:val="24"/>
        </w:rPr>
      </w:pPr>
    </w:p>
    <w:p w:rsidR="000741BF" w:rsidRDefault="00D86A56">
      <w:pPr>
        <w:ind w:left="34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Processing blood samples in a clinical </w:t>
      </w:r>
      <w:r>
        <w:rPr>
          <w:rFonts w:ascii="Arial" w:eastAsia="Arial" w:hAnsi="Arial" w:cs="Arial"/>
        </w:rPr>
        <w:t>laboratory.</w:t>
      </w:r>
    </w:p>
    <w:p w:rsidR="000741BF" w:rsidRDefault="000741BF">
      <w:pPr>
        <w:spacing w:line="20" w:lineRule="exact"/>
        <w:rPr>
          <w:sz w:val="24"/>
          <w:szCs w:val="24"/>
        </w:rPr>
      </w:pPr>
    </w:p>
    <w:p w:rsidR="000741BF" w:rsidRDefault="00D86A56">
      <w:pPr>
        <w:spacing w:line="265" w:lineRule="auto"/>
        <w:ind w:left="700" w:right="112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Being flexible and able to adapt quickly to changes in study requirements and schedules, and the ability to manage time pressures for study completion.</w:t>
      </w:r>
    </w:p>
    <w:p w:rsidR="000741BF" w:rsidRDefault="000741BF">
      <w:pPr>
        <w:spacing w:line="191" w:lineRule="exact"/>
        <w:rPr>
          <w:sz w:val="24"/>
          <w:szCs w:val="24"/>
        </w:rPr>
      </w:pPr>
    </w:p>
    <w:p w:rsidR="000741BF" w:rsidRDefault="00D86A56">
      <w:pPr>
        <w:spacing w:line="258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</w:rPr>
        <w:t>My role also includes supervising 6 junior clinical research assistants. From organising t</w:t>
      </w:r>
      <w:r>
        <w:rPr>
          <w:rFonts w:ascii="Arial" w:eastAsia="Arial" w:hAnsi="Arial" w:cs="Arial"/>
        </w:rPr>
        <w:t>heir induction process to carrying out clinical training and monitoring performance I have been able to develop managerial and teaching skills. I also created a training workbook to support their practical clinical competencies and to provide an introducti</w:t>
      </w:r>
      <w:r>
        <w:rPr>
          <w:rFonts w:ascii="Arial" w:eastAsia="Arial" w:hAnsi="Arial" w:cs="Arial"/>
        </w:rPr>
        <w:t>on into clinical research.</w:t>
      </w:r>
    </w:p>
    <w:p w:rsidR="000741BF" w:rsidRDefault="000741BF">
      <w:pPr>
        <w:spacing w:line="187" w:lineRule="exact"/>
        <w:rPr>
          <w:sz w:val="24"/>
          <w:szCs w:val="24"/>
        </w:rPr>
      </w:pPr>
    </w:p>
    <w:p w:rsidR="000741BF" w:rsidRDefault="00D86A56">
      <w:pPr>
        <w:tabs>
          <w:tab w:val="left" w:pos="68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Bupa Wellness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March 2013 – June 2014</w:t>
      </w:r>
    </w:p>
    <w:p w:rsidR="000741BF" w:rsidRDefault="000741BF">
      <w:pPr>
        <w:spacing w:line="57" w:lineRule="exact"/>
        <w:rPr>
          <w:sz w:val="24"/>
          <w:szCs w:val="24"/>
        </w:rPr>
      </w:pPr>
    </w:p>
    <w:p w:rsidR="000741BF" w:rsidRDefault="00D86A56">
      <w:pPr>
        <w:rPr>
          <w:sz w:val="20"/>
          <w:szCs w:val="20"/>
        </w:rPr>
      </w:pPr>
      <w:r>
        <w:rPr>
          <w:rFonts w:ascii="Arial" w:eastAsia="Arial" w:hAnsi="Arial" w:cs="Arial"/>
        </w:rPr>
        <w:t>London</w:t>
      </w:r>
    </w:p>
    <w:p w:rsidR="000741BF" w:rsidRDefault="000741BF">
      <w:pPr>
        <w:spacing w:line="221" w:lineRule="exact"/>
        <w:rPr>
          <w:sz w:val="24"/>
          <w:szCs w:val="24"/>
        </w:rPr>
      </w:pPr>
    </w:p>
    <w:p w:rsidR="000741BF" w:rsidRDefault="00D86A56">
      <w:pPr>
        <w:spacing w:line="258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</w:rPr>
        <w:t xml:space="preserve">My role involved carrying out a range of health assessments during which I offered a detailed picture of the client’s current health through tests such </w:t>
      </w:r>
      <w:r>
        <w:rPr>
          <w:rFonts w:ascii="Arial" w:eastAsia="Arial" w:hAnsi="Arial" w:cs="Arial"/>
        </w:rPr>
        <w:t>as fitness (</w:t>
      </w:r>
      <w:r>
        <w:rPr>
          <w:rFonts w:ascii="Arial" w:eastAsia="Arial" w:hAnsi="Arial" w:cs="Arial"/>
          <w:i/>
          <w:iCs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z w:val="14"/>
          <w:szCs w:val="14"/>
        </w:rPr>
        <w:t>2 max</w:t>
      </w:r>
      <w:r>
        <w:rPr>
          <w:rFonts w:ascii="Arial" w:eastAsia="Arial" w:hAnsi="Arial" w:cs="Arial"/>
        </w:rPr>
        <w:t>), blood tests, ECG, lung function, body composition, anthropometry, blood pressure, vision and hearing tests. I completed my venepuncture training as part of my role.</w:t>
      </w:r>
    </w:p>
    <w:p w:rsidR="000741BF" w:rsidRDefault="000741BF">
      <w:pPr>
        <w:spacing w:line="199" w:lineRule="exact"/>
        <w:rPr>
          <w:sz w:val="24"/>
          <w:szCs w:val="24"/>
        </w:rPr>
      </w:pPr>
    </w:p>
    <w:p w:rsidR="000741BF" w:rsidRDefault="00D86A56">
      <w:pPr>
        <w:spacing w:line="249" w:lineRule="auto"/>
        <w:rPr>
          <w:sz w:val="20"/>
          <w:szCs w:val="20"/>
        </w:rPr>
      </w:pPr>
      <w:r>
        <w:rPr>
          <w:rFonts w:ascii="Arial" w:eastAsia="Arial" w:hAnsi="Arial" w:cs="Arial"/>
        </w:rPr>
        <w:t>Through this role I learnt how to interpret complex clinical results</w:t>
      </w:r>
      <w:r>
        <w:rPr>
          <w:rFonts w:ascii="Arial" w:eastAsia="Arial" w:hAnsi="Arial" w:cs="Arial"/>
        </w:rPr>
        <w:t xml:space="preserve"> and relay this information and consequential health implications to clients using accessible language and in an understandable written document. I provided personalised nutritional, exercise and lifestyle advice on how to ensure good health in the future </w:t>
      </w:r>
      <w:r>
        <w:rPr>
          <w:rFonts w:ascii="Arial" w:eastAsia="Arial" w:hAnsi="Arial" w:cs="Arial"/>
        </w:rPr>
        <w:t>based on their health assessment findings. In the clinical laboratory I was able to use equipment, machinery and software to accurately record and test blood, urine and stool samples, following guidelines on correct storage and transportation where require</w:t>
      </w:r>
      <w:r>
        <w:rPr>
          <w:rFonts w:ascii="Arial" w:eastAsia="Arial" w:hAnsi="Arial" w:cs="Arial"/>
        </w:rPr>
        <w:t>d. I liaised with doctors and the clinical team to manage the clients’ screening process using a flexible and responsive approach. I also developed excellent time management skills to ensure assessments ran according to schedule.</w:t>
      </w:r>
    </w:p>
    <w:p w:rsidR="000741BF" w:rsidRDefault="000741BF">
      <w:pPr>
        <w:sectPr w:rsidR="000741BF">
          <w:pgSz w:w="11900" w:h="16840"/>
          <w:pgMar w:top="1243" w:right="1200" w:bottom="1440" w:left="1220" w:header="0" w:footer="0" w:gutter="0"/>
          <w:cols w:space="720" w:equalWidth="0">
            <w:col w:w="9480"/>
          </w:cols>
        </w:sectPr>
      </w:pPr>
    </w:p>
    <w:p w:rsidR="000741BF" w:rsidRDefault="00D86A56">
      <w:pPr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</w:rPr>
        <w:lastRenderedPageBreak/>
        <w:t>Educat</w:t>
      </w:r>
      <w:r>
        <w:rPr>
          <w:rFonts w:ascii="Arial" w:eastAsia="Arial" w:hAnsi="Arial" w:cs="Arial"/>
          <w:b/>
          <w:bCs/>
        </w:rPr>
        <w:t>ion</w:t>
      </w:r>
    </w:p>
    <w:p w:rsidR="000741BF" w:rsidRDefault="00D86A56">
      <w:pPr>
        <w:spacing w:line="26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141605</wp:posOffset>
                </wp:positionV>
                <wp:extent cx="60223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1.15pt" to="473.95pt,11.15pt" o:allowincell="f" strokecolor="#AAAAAA" strokeweight="1.4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132715</wp:posOffset>
                </wp:positionV>
                <wp:extent cx="0" cy="184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8pt,10.45pt" to="473.8pt,11.9pt" o:allowincell="f" strokecolor="#E3E3E3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133985</wp:posOffset>
                </wp:positionV>
                <wp:extent cx="60223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0.55pt" to="473.95pt,10.55pt" o:allowincell="f" strokecolor="#A0A0A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132715</wp:posOffset>
                </wp:positionV>
                <wp:extent cx="0" cy="184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0.45pt" to="-0.1499pt,11.9pt" o:allowincell="f" strokecolor="#A0A0A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149225</wp:posOffset>
                </wp:positionV>
                <wp:extent cx="60223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1.75pt" to="473.95pt,11.75pt" o:allowincell="f" strokecolor="#E3E3E3" strokeweight="0.23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4000"/>
      </w:tblGrid>
      <w:tr w:rsidR="000741BF">
        <w:trPr>
          <w:trHeight w:val="266"/>
        </w:trPr>
        <w:tc>
          <w:tcPr>
            <w:tcW w:w="544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MSc Exercise Physiology</w:t>
            </w:r>
          </w:p>
        </w:tc>
        <w:tc>
          <w:tcPr>
            <w:tcW w:w="4000" w:type="dxa"/>
            <w:vAlign w:val="bottom"/>
          </w:tcPr>
          <w:p w:rsidR="000741BF" w:rsidRDefault="00D86A56">
            <w:pPr>
              <w:ind w:left="2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2010 – 2011</w:t>
            </w:r>
          </w:p>
        </w:tc>
      </w:tr>
      <w:tr w:rsidR="000741BF">
        <w:trPr>
          <w:trHeight w:val="297"/>
        </w:trPr>
        <w:tc>
          <w:tcPr>
            <w:tcW w:w="544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Loughborough University</w:t>
            </w:r>
          </w:p>
        </w:tc>
        <w:tc>
          <w:tcPr>
            <w:tcW w:w="4000" w:type="dxa"/>
            <w:vAlign w:val="bottom"/>
          </w:tcPr>
          <w:p w:rsidR="000741BF" w:rsidRDefault="000741BF">
            <w:pPr>
              <w:rPr>
                <w:sz w:val="24"/>
                <w:szCs w:val="24"/>
              </w:rPr>
            </w:pPr>
          </w:p>
        </w:tc>
      </w:tr>
    </w:tbl>
    <w:p w:rsidR="000741BF" w:rsidRDefault="000741BF">
      <w:pPr>
        <w:spacing w:line="216" w:lineRule="exact"/>
        <w:rPr>
          <w:sz w:val="20"/>
          <w:szCs w:val="20"/>
        </w:rPr>
      </w:pPr>
    </w:p>
    <w:p w:rsidR="000741BF" w:rsidRDefault="00D86A56">
      <w:pPr>
        <w:spacing w:line="264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Modules include: Physiology of Exercise and Sport, Current Research in Exercise Physiology, Sport and Exercise Nutrition, Laboratory Techniques in Sport and Exercise Physiology, </w:t>
      </w:r>
      <w:r>
        <w:rPr>
          <w:rFonts w:ascii="Arial" w:eastAsia="Arial" w:hAnsi="Arial" w:cs="Arial"/>
        </w:rPr>
        <w:t>Exercise and Immunology, Quantitative Research.</w:t>
      </w:r>
    </w:p>
    <w:p w:rsidR="000741BF" w:rsidRDefault="000741BF">
      <w:pPr>
        <w:spacing w:line="192" w:lineRule="exact"/>
        <w:rPr>
          <w:sz w:val="20"/>
          <w:szCs w:val="20"/>
        </w:rPr>
      </w:pPr>
    </w:p>
    <w:p w:rsidR="000741BF" w:rsidRDefault="00D86A56">
      <w:pPr>
        <w:spacing w:line="266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</w:rPr>
        <w:t>Laboratory skills acquired: Blood analysis and interpretation via pipetting and spectrophotometry. Exercise testing for aerobic capacity, lactate threshold, muscle power output and energy expenditure.</w:t>
      </w:r>
    </w:p>
    <w:p w:rsidR="000741BF" w:rsidRDefault="000741BF">
      <w:pPr>
        <w:spacing w:line="196" w:lineRule="exact"/>
        <w:rPr>
          <w:sz w:val="20"/>
          <w:szCs w:val="20"/>
        </w:rPr>
      </w:pPr>
    </w:p>
    <w:p w:rsidR="000741BF" w:rsidRDefault="00D86A56">
      <w:pPr>
        <w:spacing w:line="261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</w:rPr>
        <w:t>Resea</w:t>
      </w:r>
      <w:r>
        <w:rPr>
          <w:rFonts w:ascii="Arial" w:eastAsia="Arial" w:hAnsi="Arial" w:cs="Arial"/>
        </w:rPr>
        <w:t>rch project: The presence of a bilateral deficit during maximal and explosive isometric knee extensions in untrained males.</w:t>
      </w:r>
    </w:p>
    <w:p w:rsidR="000741BF" w:rsidRDefault="000741BF">
      <w:pPr>
        <w:spacing w:line="1" w:lineRule="exact"/>
        <w:rPr>
          <w:sz w:val="20"/>
          <w:szCs w:val="20"/>
        </w:rPr>
      </w:pPr>
    </w:p>
    <w:p w:rsidR="000741BF" w:rsidRDefault="00D86A56">
      <w:pPr>
        <w:spacing w:line="246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</w:rPr>
        <w:t>Skills acquired: Measuring voluntary and electrically evoked muscle torque via surface EMG, knowledge of neuromuscular function, an</w:t>
      </w:r>
      <w:r>
        <w:rPr>
          <w:rFonts w:ascii="Arial" w:eastAsia="Arial" w:hAnsi="Arial" w:cs="Arial"/>
        </w:rPr>
        <w:t>alysis and interpretation of data, project write up adhering to specific journal guidelines.</w:t>
      </w:r>
    </w:p>
    <w:p w:rsidR="000741BF" w:rsidRDefault="000741BF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320"/>
      </w:tblGrid>
      <w:tr w:rsidR="000741BF">
        <w:trPr>
          <w:trHeight w:val="266"/>
        </w:trPr>
        <w:tc>
          <w:tcPr>
            <w:tcW w:w="608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BSc Sport and Exercise Science (2.1)</w:t>
            </w:r>
          </w:p>
        </w:tc>
        <w:tc>
          <w:tcPr>
            <w:tcW w:w="3320" w:type="dxa"/>
            <w:vAlign w:val="bottom"/>
          </w:tcPr>
          <w:p w:rsidR="000741BF" w:rsidRDefault="00D86A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2007 - 2010</w:t>
            </w:r>
          </w:p>
        </w:tc>
      </w:tr>
      <w:tr w:rsidR="000741BF">
        <w:trPr>
          <w:trHeight w:val="297"/>
        </w:trPr>
        <w:tc>
          <w:tcPr>
            <w:tcW w:w="608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Loughborough University</w:t>
            </w:r>
          </w:p>
        </w:tc>
        <w:tc>
          <w:tcPr>
            <w:tcW w:w="3320" w:type="dxa"/>
            <w:vAlign w:val="bottom"/>
          </w:tcPr>
          <w:p w:rsidR="000741BF" w:rsidRDefault="000741BF">
            <w:pPr>
              <w:rPr>
                <w:sz w:val="24"/>
                <w:szCs w:val="24"/>
              </w:rPr>
            </w:pPr>
          </w:p>
        </w:tc>
      </w:tr>
    </w:tbl>
    <w:p w:rsidR="000741BF" w:rsidRDefault="000741BF">
      <w:pPr>
        <w:spacing w:line="221" w:lineRule="exact"/>
        <w:rPr>
          <w:sz w:val="20"/>
          <w:szCs w:val="20"/>
        </w:rPr>
      </w:pPr>
    </w:p>
    <w:p w:rsidR="000741BF" w:rsidRDefault="00D86A56">
      <w:pPr>
        <w:spacing w:line="287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Modules include: Exercise and Environmental Physiology, Sport and Exercise Medicine, </w:t>
      </w:r>
      <w:r>
        <w:rPr>
          <w:rFonts w:ascii="Arial" w:eastAsia="Arial" w:hAnsi="Arial" w:cs="Arial"/>
        </w:rPr>
        <w:t>Nutrition Health and Sports Performance, Research Skills, Structural Kinesiology.</w:t>
      </w:r>
    </w:p>
    <w:p w:rsidR="000741BF" w:rsidRDefault="000741BF">
      <w:pPr>
        <w:spacing w:line="168" w:lineRule="exact"/>
        <w:rPr>
          <w:sz w:val="20"/>
          <w:szCs w:val="20"/>
        </w:rPr>
      </w:pPr>
    </w:p>
    <w:p w:rsidR="000741BF" w:rsidRDefault="00D86A56">
      <w:pPr>
        <w:spacing w:line="264" w:lineRule="auto"/>
        <w:rPr>
          <w:sz w:val="20"/>
          <w:szCs w:val="20"/>
        </w:rPr>
      </w:pPr>
      <w:r>
        <w:rPr>
          <w:rFonts w:ascii="Arial" w:eastAsia="Arial" w:hAnsi="Arial" w:cs="Arial"/>
        </w:rPr>
        <w:t>Research Project: Does sweat composition change over time during exercise in the heat? Skills acquired: Knowledge of hydration, assessment of hydration status, collection an</w:t>
      </w:r>
      <w:r>
        <w:rPr>
          <w:rFonts w:ascii="Arial" w:eastAsia="Arial" w:hAnsi="Arial" w:cs="Arial"/>
        </w:rPr>
        <w:t>d analysis of sweat samples, data analysis, interpretation and presentation.</w:t>
      </w:r>
    </w:p>
    <w:p w:rsidR="000741BF" w:rsidRDefault="000741BF">
      <w:pPr>
        <w:spacing w:line="1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3180"/>
      </w:tblGrid>
      <w:tr w:rsidR="000741BF">
        <w:trPr>
          <w:trHeight w:val="271"/>
        </w:trPr>
        <w:tc>
          <w:tcPr>
            <w:tcW w:w="622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 Levels:</w:t>
            </w:r>
          </w:p>
        </w:tc>
        <w:tc>
          <w:tcPr>
            <w:tcW w:w="3180" w:type="dxa"/>
            <w:vAlign w:val="bottom"/>
          </w:tcPr>
          <w:p w:rsidR="000741BF" w:rsidRDefault="000741BF">
            <w:pPr>
              <w:rPr>
                <w:sz w:val="23"/>
                <w:szCs w:val="23"/>
              </w:rPr>
            </w:pPr>
          </w:p>
        </w:tc>
      </w:tr>
      <w:tr w:rsidR="000741BF">
        <w:trPr>
          <w:trHeight w:val="297"/>
        </w:trPr>
        <w:tc>
          <w:tcPr>
            <w:tcW w:w="622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Biology (A), Physical Education (A), Art (A)</w:t>
            </w:r>
          </w:p>
        </w:tc>
        <w:tc>
          <w:tcPr>
            <w:tcW w:w="3180" w:type="dxa"/>
            <w:vAlign w:val="bottom"/>
          </w:tcPr>
          <w:p w:rsidR="000741BF" w:rsidRDefault="00D86A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2005 - 2007</w:t>
            </w:r>
          </w:p>
        </w:tc>
      </w:tr>
      <w:tr w:rsidR="000741BF">
        <w:trPr>
          <w:trHeight w:val="521"/>
        </w:trPr>
        <w:tc>
          <w:tcPr>
            <w:tcW w:w="622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GCSEs:</w:t>
            </w:r>
          </w:p>
        </w:tc>
        <w:tc>
          <w:tcPr>
            <w:tcW w:w="3180" w:type="dxa"/>
            <w:vAlign w:val="bottom"/>
          </w:tcPr>
          <w:p w:rsidR="000741BF" w:rsidRDefault="00D86A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2003 - 2005</w:t>
            </w:r>
          </w:p>
        </w:tc>
      </w:tr>
    </w:tbl>
    <w:p w:rsidR="000741BF" w:rsidRDefault="00D86A5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11 GCSEs including Biology (A*), Chemistry (A*), PE (A*), English Lit/Lang (A*/A), Maths</w:t>
      </w:r>
      <w:r>
        <w:rPr>
          <w:rFonts w:ascii="Arial" w:eastAsia="Arial" w:hAnsi="Arial" w:cs="Arial"/>
        </w:rPr>
        <w:t xml:space="preserve"> (B)</w:t>
      </w:r>
    </w:p>
    <w:p w:rsidR="000741BF" w:rsidRDefault="000741BF">
      <w:pPr>
        <w:spacing w:line="205" w:lineRule="exact"/>
        <w:rPr>
          <w:sz w:val="20"/>
          <w:szCs w:val="20"/>
        </w:rPr>
      </w:pPr>
    </w:p>
    <w:p w:rsidR="000741BF" w:rsidRDefault="00D86A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Further Qualifications and Achievements</w:t>
      </w:r>
    </w:p>
    <w:p w:rsidR="000741BF" w:rsidRDefault="00D86A56">
      <w:pPr>
        <w:spacing w:line="27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144780</wp:posOffset>
                </wp:positionV>
                <wp:extent cx="60223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1.4pt" to="473.95pt,11.4pt" o:allowincell="f" strokecolor="#AAAAAA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135890</wp:posOffset>
                </wp:positionV>
                <wp:extent cx="0" cy="184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8pt,10.7pt" to="473.8pt,12.15pt" o:allowincell="f" strokecolor="#E3E3E3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137160</wp:posOffset>
                </wp:positionV>
                <wp:extent cx="60223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0.8pt" to="473.95pt,10.8pt" o:allowincell="f" strokecolor="#A0A0A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135890</wp:posOffset>
                </wp:positionV>
                <wp:extent cx="0" cy="184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0.7pt" to="-0.1499pt,12.15pt" o:allowincell="f" strokecolor="#A0A0A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152400</wp:posOffset>
                </wp:positionV>
                <wp:extent cx="60223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2pt" to="473.95pt,12pt" o:allowincell="f" strokecolor="#E3E3E3" strokeweight="0.23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900"/>
        <w:gridCol w:w="2740"/>
      </w:tblGrid>
      <w:tr w:rsidR="000741BF">
        <w:trPr>
          <w:trHeight w:val="259"/>
        </w:trPr>
        <w:tc>
          <w:tcPr>
            <w:tcW w:w="482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Good Clinical Practice</w:t>
            </w:r>
          </w:p>
        </w:tc>
        <w:tc>
          <w:tcPr>
            <w:tcW w:w="4640" w:type="dxa"/>
            <w:gridSpan w:val="2"/>
            <w:vAlign w:val="bottom"/>
          </w:tcPr>
          <w:p w:rsidR="000741BF" w:rsidRDefault="00D86A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Full course June 2014, Refresher Jan 2016</w:t>
            </w:r>
          </w:p>
        </w:tc>
      </w:tr>
      <w:tr w:rsidR="000741BF">
        <w:trPr>
          <w:trHeight w:val="254"/>
        </w:trPr>
        <w:tc>
          <w:tcPr>
            <w:tcW w:w="482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Crawley Netball League Player of the Season</w:t>
            </w:r>
          </w:p>
        </w:tc>
        <w:tc>
          <w:tcPr>
            <w:tcW w:w="1900" w:type="dxa"/>
            <w:vAlign w:val="bottom"/>
          </w:tcPr>
          <w:p w:rsidR="000741BF" w:rsidRDefault="000741BF"/>
        </w:tc>
        <w:tc>
          <w:tcPr>
            <w:tcW w:w="2740" w:type="dxa"/>
            <w:vAlign w:val="bottom"/>
          </w:tcPr>
          <w:p w:rsidR="000741BF" w:rsidRDefault="00D86A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Sept 2015</w:t>
            </w:r>
          </w:p>
        </w:tc>
      </w:tr>
      <w:tr w:rsidR="000741BF">
        <w:trPr>
          <w:trHeight w:val="259"/>
        </w:trPr>
        <w:tc>
          <w:tcPr>
            <w:tcW w:w="482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Immediate Life Support</w:t>
            </w:r>
          </w:p>
        </w:tc>
        <w:tc>
          <w:tcPr>
            <w:tcW w:w="4640" w:type="dxa"/>
            <w:gridSpan w:val="2"/>
            <w:vAlign w:val="bottom"/>
          </w:tcPr>
          <w:p w:rsidR="000741BF" w:rsidRDefault="00D86A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Full course July 2014, Refresher June 2015</w:t>
            </w:r>
          </w:p>
        </w:tc>
      </w:tr>
      <w:tr w:rsidR="000741BF">
        <w:trPr>
          <w:trHeight w:val="254"/>
        </w:trPr>
        <w:tc>
          <w:tcPr>
            <w:tcW w:w="482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Southwater </w:t>
            </w:r>
            <w:r>
              <w:rPr>
                <w:rFonts w:ascii="Arial" w:eastAsia="Arial" w:hAnsi="Arial" w:cs="Arial"/>
              </w:rPr>
              <w:t>Netball Club Player of the Season</w:t>
            </w:r>
          </w:p>
        </w:tc>
        <w:tc>
          <w:tcPr>
            <w:tcW w:w="1900" w:type="dxa"/>
            <w:vAlign w:val="bottom"/>
          </w:tcPr>
          <w:p w:rsidR="000741BF" w:rsidRDefault="000741BF"/>
        </w:tc>
        <w:tc>
          <w:tcPr>
            <w:tcW w:w="2740" w:type="dxa"/>
            <w:vAlign w:val="bottom"/>
          </w:tcPr>
          <w:p w:rsidR="000741BF" w:rsidRDefault="00D86A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May 2015</w:t>
            </w:r>
          </w:p>
        </w:tc>
      </w:tr>
      <w:tr w:rsidR="000741BF">
        <w:trPr>
          <w:trHeight w:val="264"/>
        </w:trPr>
        <w:tc>
          <w:tcPr>
            <w:tcW w:w="4820" w:type="dxa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REPs Level 3 Personal Trainer</w:t>
            </w:r>
          </w:p>
        </w:tc>
        <w:tc>
          <w:tcPr>
            <w:tcW w:w="1900" w:type="dxa"/>
            <w:vAlign w:val="bottom"/>
          </w:tcPr>
          <w:p w:rsidR="000741BF" w:rsidRDefault="000741BF"/>
        </w:tc>
        <w:tc>
          <w:tcPr>
            <w:tcW w:w="2740" w:type="dxa"/>
            <w:vAlign w:val="bottom"/>
          </w:tcPr>
          <w:p w:rsidR="000741BF" w:rsidRDefault="00D86A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Sept 2011</w:t>
            </w:r>
          </w:p>
        </w:tc>
      </w:tr>
      <w:tr w:rsidR="000741BF">
        <w:trPr>
          <w:trHeight w:val="297"/>
        </w:trPr>
        <w:tc>
          <w:tcPr>
            <w:tcW w:w="6720" w:type="dxa"/>
            <w:gridSpan w:val="2"/>
            <w:vAlign w:val="bottom"/>
          </w:tcPr>
          <w:p w:rsidR="000741BF" w:rsidRDefault="00D86A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Duke of Edinburgh’s Gold, Silver and Bronze Awards</w:t>
            </w:r>
          </w:p>
        </w:tc>
        <w:tc>
          <w:tcPr>
            <w:tcW w:w="2740" w:type="dxa"/>
            <w:vAlign w:val="bottom"/>
          </w:tcPr>
          <w:p w:rsidR="000741BF" w:rsidRDefault="00D86A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2004 – 2007</w:t>
            </w:r>
          </w:p>
        </w:tc>
      </w:tr>
    </w:tbl>
    <w:p w:rsidR="000741BF" w:rsidRDefault="000741BF">
      <w:pPr>
        <w:spacing w:line="205" w:lineRule="exact"/>
        <w:rPr>
          <w:sz w:val="20"/>
          <w:szCs w:val="20"/>
        </w:rPr>
      </w:pPr>
    </w:p>
    <w:p w:rsidR="000741BF" w:rsidRDefault="00D86A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Profile</w:t>
      </w:r>
    </w:p>
    <w:p w:rsidR="000741BF" w:rsidRDefault="00D86A56">
      <w:pPr>
        <w:spacing w:line="27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144780</wp:posOffset>
                </wp:positionV>
                <wp:extent cx="60223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1.4pt" to="473.95pt,11.4pt" o:allowincell="f" strokecolor="#AAAAAA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135890</wp:posOffset>
                </wp:positionV>
                <wp:extent cx="0" cy="184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8pt,10.7pt" to="473.8pt,12.15pt" o:allowincell="f" strokecolor="#E3E3E3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137160</wp:posOffset>
                </wp:positionV>
                <wp:extent cx="60223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0.8pt" to="473.95pt,10.8pt" o:allowincell="f" strokecolor="#A0A0A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135890</wp:posOffset>
                </wp:positionV>
                <wp:extent cx="0" cy="184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0.7pt" to="-0.1499pt,12.15pt" o:allowincell="f" strokecolor="#A0A0A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152400</wp:posOffset>
                </wp:positionV>
                <wp:extent cx="60223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2pt" to="473.95pt,12pt" o:allowincell="f" strokecolor="#E3E3E3" strokeweight="0.24pt"/>
            </w:pict>
          </mc:Fallback>
        </mc:AlternateContent>
      </w:r>
    </w:p>
    <w:p w:rsidR="000741BF" w:rsidRDefault="00D86A56">
      <w:pPr>
        <w:spacing w:line="254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</w:rPr>
        <w:t xml:space="preserve">My passion lies in the area of research and innovation, in particular that relating to </w:t>
      </w:r>
      <w:r>
        <w:rPr>
          <w:rFonts w:ascii="Arial" w:eastAsia="Arial" w:hAnsi="Arial" w:cs="Arial"/>
        </w:rPr>
        <w:t>nutrition, physiology and health. My work experience and education at university have fuelled my motivation to pursue a career in this field, and I’m determined to make a difference within clinical research. Keeping fit and healthy plays a large role in my</w:t>
      </w:r>
      <w:r>
        <w:rPr>
          <w:rFonts w:ascii="Arial" w:eastAsia="Arial" w:hAnsi="Arial" w:cs="Arial"/>
        </w:rPr>
        <w:t xml:space="preserve"> everyday life and I enjoy running and playing competitive netball.</w:t>
      </w:r>
    </w:p>
    <w:p w:rsidR="000741BF" w:rsidRDefault="000741BF">
      <w:pPr>
        <w:spacing w:line="195" w:lineRule="exact"/>
        <w:rPr>
          <w:sz w:val="20"/>
          <w:szCs w:val="20"/>
        </w:rPr>
      </w:pPr>
    </w:p>
    <w:p w:rsidR="00D86A56" w:rsidRDefault="00D86A56">
      <w:pPr>
        <w:spacing w:line="195" w:lineRule="exact"/>
        <w:rPr>
          <w:sz w:val="20"/>
          <w:szCs w:val="20"/>
        </w:rPr>
      </w:pPr>
    </w:p>
    <w:p w:rsidR="00D86A56" w:rsidRDefault="00D86A56">
      <w:pPr>
        <w:spacing w:line="195" w:lineRule="exact"/>
        <w:rPr>
          <w:sz w:val="20"/>
          <w:szCs w:val="20"/>
        </w:rPr>
      </w:pPr>
    </w:p>
    <w:p w:rsidR="00D86A56" w:rsidRDefault="00D86A56">
      <w:pPr>
        <w:spacing w:line="195" w:lineRule="exact"/>
        <w:rPr>
          <w:sz w:val="20"/>
          <w:szCs w:val="20"/>
        </w:rPr>
      </w:pPr>
    </w:p>
    <w:p w:rsidR="00D86A56" w:rsidRDefault="00D86A56">
      <w:pPr>
        <w:spacing w:line="195" w:lineRule="exact"/>
        <w:rPr>
          <w:sz w:val="20"/>
          <w:szCs w:val="20"/>
        </w:rPr>
      </w:pPr>
    </w:p>
    <w:p w:rsidR="00D86A56" w:rsidRDefault="00D86A56">
      <w:pPr>
        <w:spacing w:line="195" w:lineRule="exact"/>
        <w:rPr>
          <w:sz w:val="20"/>
          <w:szCs w:val="20"/>
        </w:rPr>
      </w:pPr>
    </w:p>
    <w:p w:rsidR="00D86A56" w:rsidRDefault="00D86A56" w:rsidP="00D86A56">
      <w:pPr>
        <w:rPr>
          <w:b/>
        </w:rPr>
      </w:pPr>
      <w:r>
        <w:rPr>
          <w:b/>
        </w:rPr>
        <w:lastRenderedPageBreak/>
        <w:t>First Name of Application CV No:</w:t>
      </w:r>
      <w:r w:rsidRPr="00D86A56">
        <w:t xml:space="preserve"> </w:t>
      </w:r>
      <w:r w:rsidRPr="00D86A56">
        <w:rPr>
          <w:b/>
        </w:rPr>
        <w:t>1656342</w:t>
      </w:r>
      <w:bookmarkStart w:id="1" w:name="_GoBack"/>
      <w:bookmarkEnd w:id="1"/>
    </w:p>
    <w:p w:rsidR="00D86A56" w:rsidRDefault="00D86A56" w:rsidP="00D86A56">
      <w:proofErr w:type="spellStart"/>
      <w:r>
        <w:t>Whatsapp</w:t>
      </w:r>
      <w:proofErr w:type="spellEnd"/>
      <w:r>
        <w:t xml:space="preserve"> Mobile: +971504753686 </w:t>
      </w:r>
    </w:p>
    <w:p w:rsidR="00D86A56" w:rsidRDefault="00D86A56" w:rsidP="00D86A56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1435" cy="583565"/>
            <wp:effectExtent l="0" t="0" r="0" b="6985"/>
            <wp:docPr id="26" name="Picture 26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56" w:rsidRDefault="00D86A56">
      <w:pPr>
        <w:spacing w:line="195" w:lineRule="exact"/>
        <w:rPr>
          <w:sz w:val="20"/>
          <w:szCs w:val="20"/>
        </w:rPr>
      </w:pPr>
    </w:p>
    <w:sectPr w:rsidR="00D86A56">
      <w:pgSz w:w="11900" w:h="16840"/>
      <w:pgMar w:top="1243" w:right="1200" w:bottom="1155" w:left="122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2B885588"/>
    <w:lvl w:ilvl="0" w:tplc="9E4AF312">
      <w:start w:val="1"/>
      <w:numFmt w:val="bullet"/>
      <w:lvlText w:val=" "/>
      <w:lvlJc w:val="left"/>
    </w:lvl>
    <w:lvl w:ilvl="1" w:tplc="C01430C0">
      <w:numFmt w:val="decimal"/>
      <w:lvlText w:val=""/>
      <w:lvlJc w:val="left"/>
    </w:lvl>
    <w:lvl w:ilvl="2" w:tplc="8E6AFEC4">
      <w:numFmt w:val="decimal"/>
      <w:lvlText w:val=""/>
      <w:lvlJc w:val="left"/>
    </w:lvl>
    <w:lvl w:ilvl="3" w:tplc="321A54C4">
      <w:numFmt w:val="decimal"/>
      <w:lvlText w:val=""/>
      <w:lvlJc w:val="left"/>
    </w:lvl>
    <w:lvl w:ilvl="4" w:tplc="333277FC">
      <w:numFmt w:val="decimal"/>
      <w:lvlText w:val=""/>
      <w:lvlJc w:val="left"/>
    </w:lvl>
    <w:lvl w:ilvl="5" w:tplc="7B7CE076">
      <w:numFmt w:val="decimal"/>
      <w:lvlText w:val=""/>
      <w:lvlJc w:val="left"/>
    </w:lvl>
    <w:lvl w:ilvl="6" w:tplc="98567F96">
      <w:numFmt w:val="decimal"/>
      <w:lvlText w:val=""/>
      <w:lvlJc w:val="left"/>
    </w:lvl>
    <w:lvl w:ilvl="7" w:tplc="01CAF7BA">
      <w:numFmt w:val="decimal"/>
      <w:lvlText w:val=""/>
      <w:lvlJc w:val="left"/>
    </w:lvl>
    <w:lvl w:ilvl="8" w:tplc="54FA87B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BF"/>
    <w:rsid w:val="000741BF"/>
    <w:rsid w:val="00D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2016-05-04T14:30:00Z</dcterms:created>
  <dcterms:modified xsi:type="dcterms:W3CDTF">2016-05-05T07:10:00Z</dcterms:modified>
</cp:coreProperties>
</file>