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72" w:rsidRDefault="00A95335" w:rsidP="00B84BE6">
      <w:pPr>
        <w:pStyle w:val="Title"/>
        <w:rPr>
          <w:b/>
        </w:rPr>
      </w:pPr>
      <w:bookmarkStart w:id="0" w:name="_GoBack"/>
      <w:r w:rsidRPr="00B84BE6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4633912</wp:posOffset>
            </wp:positionH>
            <wp:positionV relativeFrom="paragraph">
              <wp:posOffset>-252412</wp:posOffset>
            </wp:positionV>
            <wp:extent cx="990600" cy="1266825"/>
            <wp:effectExtent l="0" t="0" r="0" b="0"/>
            <wp:wrapNone/>
            <wp:docPr id="1" name="Picture 1" descr="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50C6D" w:rsidRPr="00B84BE6">
        <w:rPr>
          <w:b/>
        </w:rPr>
        <w:t>Muhammad</w:t>
      </w:r>
    </w:p>
    <w:p w:rsidR="00050C6D" w:rsidRPr="00A55472" w:rsidRDefault="00A55472" w:rsidP="00B84BE6">
      <w:pPr>
        <w:pStyle w:val="Title"/>
        <w:rPr>
          <w:b/>
          <w:sz w:val="22"/>
          <w:szCs w:val="22"/>
        </w:rPr>
      </w:pPr>
      <w:hyperlink r:id="rId8" w:history="1">
        <w:r w:rsidRPr="00AA3BF9">
          <w:rPr>
            <w:rStyle w:val="Hyperlink"/>
            <w:b/>
            <w:sz w:val="22"/>
            <w:szCs w:val="22"/>
          </w:rPr>
          <w:t>Muhammad.291479@2freemail.com</w:t>
        </w:r>
      </w:hyperlink>
      <w:r>
        <w:rPr>
          <w:b/>
          <w:sz w:val="22"/>
          <w:szCs w:val="22"/>
        </w:rPr>
        <w:t xml:space="preserve"> </w:t>
      </w:r>
    </w:p>
    <w:p w:rsidR="002067FF" w:rsidRPr="002067FF" w:rsidRDefault="002067FF"/>
    <w:p w:rsidR="00050C6D" w:rsidRPr="00B84BE6" w:rsidRDefault="00050C6D" w:rsidP="00B84BE6">
      <w:pPr>
        <w:pStyle w:val="Heading1"/>
        <w:rPr>
          <w:sz w:val="36"/>
        </w:rPr>
      </w:pPr>
      <w:r w:rsidRPr="00B84BE6">
        <w:rPr>
          <w:sz w:val="28"/>
        </w:rPr>
        <w:t>INTRODUCTION:</w:t>
      </w:r>
    </w:p>
    <w:p w:rsidR="00050C6D" w:rsidRDefault="00050C6D" w:rsidP="00050C6D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i/>
          <w:sz w:val="20"/>
        </w:rPr>
      </w:pPr>
    </w:p>
    <w:p w:rsidR="00050C6D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</w:t>
      </w:r>
      <w:r w:rsidRPr="00992490">
        <w:rPr>
          <w:rFonts w:ascii="Arial" w:hAnsi="Arial" w:cs="Arial"/>
          <w:sz w:val="20"/>
          <w:szCs w:val="20"/>
        </w:rPr>
        <w:t>n adaptable, resourceful and enthusiastic Finance Professional</w:t>
      </w:r>
      <w:r>
        <w:rPr>
          <w:rFonts w:ascii="Arial" w:hAnsi="Arial" w:cs="Arial"/>
          <w:sz w:val="20"/>
          <w:szCs w:val="20"/>
        </w:rPr>
        <w:t>. I have</w:t>
      </w:r>
      <w:r w:rsidRPr="00992490">
        <w:rPr>
          <w:rFonts w:ascii="Arial" w:hAnsi="Arial" w:cs="Arial"/>
          <w:sz w:val="20"/>
          <w:szCs w:val="20"/>
        </w:rPr>
        <w:t xml:space="preserve"> extensive experience for </w:t>
      </w:r>
      <w:r>
        <w:rPr>
          <w:rFonts w:ascii="Arial" w:hAnsi="Arial" w:cs="Arial"/>
          <w:sz w:val="20"/>
          <w:szCs w:val="20"/>
        </w:rPr>
        <w:t xml:space="preserve">preparing, </w:t>
      </w:r>
      <w:r w:rsidRPr="00992490">
        <w:rPr>
          <w:rFonts w:ascii="Arial" w:hAnsi="Arial" w:cs="Arial"/>
          <w:sz w:val="20"/>
          <w:szCs w:val="20"/>
        </w:rPr>
        <w:t xml:space="preserve">monitoring and reconciling a company’s </w:t>
      </w:r>
      <w:r>
        <w:rPr>
          <w:rFonts w:ascii="Arial" w:hAnsi="Arial" w:cs="Arial"/>
          <w:sz w:val="20"/>
          <w:szCs w:val="20"/>
        </w:rPr>
        <w:t xml:space="preserve">annual and </w:t>
      </w:r>
      <w:r w:rsidRPr="00992490">
        <w:rPr>
          <w:rFonts w:ascii="Arial" w:hAnsi="Arial" w:cs="Arial"/>
          <w:sz w:val="20"/>
          <w:szCs w:val="20"/>
        </w:rPr>
        <w:t>periodic financial statements</w:t>
      </w:r>
      <w:r>
        <w:rPr>
          <w:rFonts w:ascii="Arial" w:hAnsi="Arial" w:cs="Arial"/>
          <w:sz w:val="20"/>
          <w:szCs w:val="20"/>
        </w:rPr>
        <w:t xml:space="preserve"> and </w:t>
      </w:r>
      <w:r w:rsidRPr="00992490">
        <w:rPr>
          <w:rFonts w:ascii="Arial" w:hAnsi="Arial" w:cs="Arial"/>
          <w:sz w:val="20"/>
          <w:szCs w:val="20"/>
        </w:rPr>
        <w:t xml:space="preserve">coordinate with external auditors and internal auditors </w:t>
      </w:r>
      <w:r>
        <w:rPr>
          <w:rFonts w:ascii="Arial" w:hAnsi="Arial" w:cs="Arial"/>
          <w:sz w:val="20"/>
          <w:szCs w:val="20"/>
        </w:rPr>
        <w:t>to address their queries.</w:t>
      </w:r>
    </w:p>
    <w:p w:rsidR="00050C6D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</w:p>
    <w:p w:rsidR="00050C6D" w:rsidRPr="00992490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the above, I </w:t>
      </w:r>
      <w:r w:rsidRPr="00992490">
        <w:rPr>
          <w:rFonts w:ascii="Arial" w:hAnsi="Arial" w:cs="Arial"/>
          <w:sz w:val="20"/>
          <w:szCs w:val="20"/>
        </w:rPr>
        <w:t>hav</w:t>
      </w:r>
      <w:r>
        <w:rPr>
          <w:rFonts w:ascii="Arial" w:hAnsi="Arial" w:cs="Arial"/>
          <w:sz w:val="20"/>
          <w:szCs w:val="20"/>
        </w:rPr>
        <w:t>e</w:t>
      </w:r>
      <w:r w:rsidRPr="00992490">
        <w:rPr>
          <w:rFonts w:ascii="Arial" w:hAnsi="Arial" w:cs="Arial"/>
          <w:sz w:val="20"/>
          <w:szCs w:val="20"/>
        </w:rPr>
        <w:t xml:space="preserve"> four years training experience with </w:t>
      </w:r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>Deloitte Pakistan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M.</w:t>
      </w:r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>Yousuf</w:t>
      </w:r>
      <w:proofErr w:type="spellEnd"/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>Adil</w:t>
      </w:r>
      <w:proofErr w:type="spellEnd"/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2490">
        <w:rPr>
          <w:rFonts w:ascii="Arial" w:hAnsi="Arial" w:cs="Arial"/>
          <w:color w:val="000000"/>
          <w:sz w:val="20"/>
          <w:szCs w:val="20"/>
          <w:shd w:val="clear" w:color="auto" w:fill="FFFFFF"/>
        </w:rPr>
        <w:t>Sale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Co., Chartered Accountants)</w:t>
      </w:r>
      <w:r w:rsidRPr="00992490">
        <w:rPr>
          <w:rFonts w:ascii="Arial" w:hAnsi="Arial" w:cs="Arial"/>
          <w:sz w:val="20"/>
          <w:szCs w:val="20"/>
        </w:rPr>
        <w:t>.</w:t>
      </w:r>
    </w:p>
    <w:p w:rsidR="00050C6D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</w:p>
    <w:p w:rsidR="00050C6D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 team player, and I am invol</w:t>
      </w:r>
      <w:r w:rsidR="003F50C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ed in allocating resources to </w:t>
      </w:r>
      <w:r w:rsidRPr="00992490">
        <w:rPr>
          <w:rFonts w:ascii="Arial" w:hAnsi="Arial" w:cs="Arial"/>
          <w:sz w:val="20"/>
          <w:szCs w:val="20"/>
        </w:rPr>
        <w:t>resolv</w:t>
      </w:r>
      <w:r>
        <w:rPr>
          <w:rFonts w:ascii="Arial" w:hAnsi="Arial" w:cs="Arial"/>
          <w:sz w:val="20"/>
          <w:szCs w:val="20"/>
        </w:rPr>
        <w:t>e</w:t>
      </w:r>
      <w:r w:rsidRPr="00992490">
        <w:rPr>
          <w:rFonts w:ascii="Arial" w:hAnsi="Arial" w:cs="Arial"/>
          <w:sz w:val="20"/>
          <w:szCs w:val="20"/>
        </w:rPr>
        <w:t>, analyz</w:t>
      </w:r>
      <w:r>
        <w:rPr>
          <w:rFonts w:ascii="Arial" w:hAnsi="Arial" w:cs="Arial"/>
          <w:sz w:val="20"/>
          <w:szCs w:val="20"/>
        </w:rPr>
        <w:t>e</w:t>
      </w:r>
      <w:r w:rsidRPr="00992490">
        <w:rPr>
          <w:rFonts w:ascii="Arial" w:hAnsi="Arial" w:cs="Arial"/>
          <w:sz w:val="20"/>
          <w:szCs w:val="20"/>
        </w:rPr>
        <w:t xml:space="preserve"> and investigat</w:t>
      </w:r>
      <w:r>
        <w:rPr>
          <w:rFonts w:ascii="Arial" w:hAnsi="Arial" w:cs="Arial"/>
          <w:sz w:val="20"/>
          <w:szCs w:val="20"/>
        </w:rPr>
        <w:t>e</w:t>
      </w:r>
      <w:r w:rsidRPr="00992490">
        <w:rPr>
          <w:rFonts w:ascii="Arial" w:hAnsi="Arial" w:cs="Arial"/>
          <w:sz w:val="20"/>
          <w:szCs w:val="20"/>
        </w:rPr>
        <w:t xml:space="preserve"> various accounting discrepancies.</w:t>
      </w:r>
    </w:p>
    <w:p w:rsidR="00050C6D" w:rsidRPr="00992490" w:rsidRDefault="00050C6D" w:rsidP="00050C6D">
      <w:pPr>
        <w:widowControl w:val="0"/>
        <w:autoSpaceDE w:val="0"/>
        <w:autoSpaceDN w:val="0"/>
        <w:adjustRightInd w:val="0"/>
        <w:spacing w:before="8" w:line="259" w:lineRule="exact"/>
        <w:ind w:right="4"/>
        <w:jc w:val="both"/>
        <w:rPr>
          <w:rFonts w:ascii="Arial" w:hAnsi="Arial" w:cs="Arial"/>
          <w:sz w:val="20"/>
          <w:szCs w:val="20"/>
        </w:rPr>
      </w:pPr>
    </w:p>
    <w:p w:rsidR="00050C6D" w:rsidRDefault="00050C6D" w:rsidP="00050C6D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ind w:right="4"/>
        <w:jc w:val="both"/>
        <w:rPr>
          <w:rFonts w:ascii="Arial" w:hAnsi="Arial" w:cs="Arial"/>
          <w:b/>
          <w:bCs/>
          <w:i/>
          <w:sz w:val="20"/>
        </w:rPr>
      </w:pPr>
      <w:proofErr w:type="gramStart"/>
      <w:r w:rsidRPr="00992490">
        <w:rPr>
          <w:rFonts w:ascii="Arial" w:hAnsi="Arial" w:cs="Arial"/>
          <w:sz w:val="20"/>
          <w:szCs w:val="20"/>
        </w:rPr>
        <w:t>Now looking to successful career by working in the finance department for an ambitious and expanding company.</w:t>
      </w:r>
      <w:proofErr w:type="gramEnd"/>
    </w:p>
    <w:p w:rsidR="00050C6D" w:rsidRDefault="00050C6D" w:rsidP="00050C6D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i/>
          <w:sz w:val="20"/>
        </w:rPr>
      </w:pPr>
    </w:p>
    <w:p w:rsidR="00050C6D" w:rsidRPr="00B84BE6" w:rsidRDefault="00050C6D" w:rsidP="00B84BE6">
      <w:pPr>
        <w:pStyle w:val="Heading1"/>
        <w:rPr>
          <w:sz w:val="28"/>
        </w:rPr>
      </w:pPr>
      <w:r w:rsidRPr="00B84BE6">
        <w:rPr>
          <w:sz w:val="28"/>
        </w:rPr>
        <w:t>EXPERTIES:</w:t>
      </w:r>
    </w:p>
    <w:p w:rsidR="00A95335" w:rsidRPr="00A95335" w:rsidRDefault="00A95335" w:rsidP="00A95335"/>
    <w:p w:rsidR="00760068" w:rsidRPr="00553CB0" w:rsidRDefault="00760068" w:rsidP="00553C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i/>
          <w:color w:val="000000"/>
          <w:w w:val="102"/>
          <w:sz w:val="20"/>
          <w:szCs w:val="20"/>
        </w:rPr>
      </w:pPr>
      <w:r w:rsidRPr="00553CB0">
        <w:rPr>
          <w:rFonts w:ascii="Arial" w:hAnsi="Arial" w:cs="Arial"/>
          <w:i/>
          <w:color w:val="000000"/>
          <w:w w:val="102"/>
          <w:sz w:val="20"/>
          <w:szCs w:val="20"/>
        </w:rPr>
        <w:t>Financial Reporting</w:t>
      </w:r>
    </w:p>
    <w:p w:rsidR="00760068" w:rsidRPr="00AA5727" w:rsidRDefault="00760068" w:rsidP="00553C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w w:val="103"/>
          <w:sz w:val="20"/>
          <w:szCs w:val="20"/>
        </w:rPr>
      </w:pPr>
      <w:r w:rsidRPr="00AA5727">
        <w:rPr>
          <w:rFonts w:ascii="Arial" w:hAnsi="Arial" w:cs="Arial"/>
          <w:i/>
          <w:color w:val="000000"/>
          <w:w w:val="103"/>
          <w:sz w:val="20"/>
          <w:szCs w:val="20"/>
        </w:rPr>
        <w:t xml:space="preserve">Taxation </w:t>
      </w:r>
    </w:p>
    <w:p w:rsidR="00760068" w:rsidRPr="00AA5727" w:rsidRDefault="00760068" w:rsidP="00553C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w w:val="103"/>
          <w:sz w:val="20"/>
          <w:szCs w:val="20"/>
        </w:rPr>
      </w:pPr>
      <w:r w:rsidRPr="00AA5727">
        <w:rPr>
          <w:rFonts w:ascii="Arial" w:hAnsi="Arial" w:cs="Arial"/>
          <w:i/>
          <w:color w:val="000000"/>
          <w:w w:val="103"/>
          <w:sz w:val="20"/>
          <w:szCs w:val="20"/>
        </w:rPr>
        <w:t>External Audit,</w:t>
      </w:r>
    </w:p>
    <w:p w:rsidR="00760068" w:rsidRPr="00AA5727" w:rsidRDefault="00760068" w:rsidP="00553C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w w:val="103"/>
          <w:sz w:val="20"/>
          <w:szCs w:val="20"/>
        </w:rPr>
      </w:pPr>
      <w:r w:rsidRPr="00AA5727">
        <w:rPr>
          <w:rFonts w:ascii="Arial" w:hAnsi="Arial" w:cs="Arial"/>
          <w:i/>
          <w:color w:val="000000"/>
          <w:w w:val="103"/>
          <w:sz w:val="20"/>
          <w:szCs w:val="20"/>
        </w:rPr>
        <w:t>Dealing with Internal audit</w:t>
      </w:r>
      <w:r>
        <w:rPr>
          <w:rFonts w:ascii="Arial" w:hAnsi="Arial" w:cs="Arial"/>
          <w:i/>
          <w:color w:val="000000"/>
          <w:w w:val="103"/>
          <w:sz w:val="20"/>
          <w:szCs w:val="20"/>
        </w:rPr>
        <w:t>ors</w:t>
      </w:r>
      <w:r w:rsidRPr="00AA5727">
        <w:rPr>
          <w:rFonts w:ascii="Arial" w:hAnsi="Arial" w:cs="Arial"/>
          <w:i/>
          <w:color w:val="000000"/>
          <w:w w:val="103"/>
          <w:sz w:val="20"/>
          <w:szCs w:val="20"/>
        </w:rPr>
        <w:t xml:space="preserve"> and other statutory assignments.</w:t>
      </w:r>
    </w:p>
    <w:p w:rsidR="00760068" w:rsidRPr="00AA5727" w:rsidRDefault="00760068" w:rsidP="00553C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w w:val="102"/>
          <w:sz w:val="20"/>
          <w:szCs w:val="20"/>
        </w:rPr>
      </w:pPr>
      <w:r w:rsidRPr="00AA5727">
        <w:rPr>
          <w:rFonts w:ascii="Arial" w:hAnsi="Arial" w:cs="Arial"/>
          <w:i/>
          <w:color w:val="000000"/>
          <w:w w:val="102"/>
          <w:sz w:val="20"/>
          <w:szCs w:val="20"/>
        </w:rPr>
        <w:t>Reconciliation</w:t>
      </w:r>
      <w:r>
        <w:rPr>
          <w:rFonts w:ascii="Arial" w:hAnsi="Arial" w:cs="Arial"/>
          <w:i/>
          <w:color w:val="000000"/>
          <w:w w:val="102"/>
          <w:sz w:val="20"/>
          <w:szCs w:val="20"/>
        </w:rPr>
        <w:t>s</w:t>
      </w:r>
      <w:r w:rsidRPr="00AA5727">
        <w:rPr>
          <w:rFonts w:ascii="Arial" w:hAnsi="Arial" w:cs="Arial"/>
          <w:i/>
          <w:color w:val="000000"/>
          <w:w w:val="102"/>
          <w:sz w:val="20"/>
          <w:szCs w:val="20"/>
        </w:rPr>
        <w:t>, fixed assets register, Prepayments and Accruals.</w:t>
      </w:r>
    </w:p>
    <w:p w:rsidR="00802AE6" w:rsidRDefault="00760068" w:rsidP="00553C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w w:val="102"/>
          <w:sz w:val="20"/>
          <w:szCs w:val="20"/>
        </w:rPr>
      </w:pPr>
      <w:r w:rsidRPr="00AA5727">
        <w:rPr>
          <w:rFonts w:ascii="Arial" w:hAnsi="Arial" w:cs="Arial"/>
          <w:i/>
          <w:color w:val="000000"/>
          <w:w w:val="102"/>
          <w:sz w:val="20"/>
          <w:szCs w:val="20"/>
        </w:rPr>
        <w:t>Cash flow management.</w:t>
      </w:r>
    </w:p>
    <w:p w:rsidR="00802AE6" w:rsidRDefault="00802AE6" w:rsidP="00802A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w w:val="102"/>
          <w:sz w:val="20"/>
          <w:szCs w:val="20"/>
        </w:rPr>
      </w:pPr>
    </w:p>
    <w:p w:rsidR="00802AE6" w:rsidRDefault="00802AE6" w:rsidP="00802A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w w:val="102"/>
          <w:sz w:val="20"/>
          <w:szCs w:val="20"/>
        </w:rPr>
      </w:pPr>
    </w:p>
    <w:p w:rsidR="00802AE6" w:rsidRPr="00B84BE6" w:rsidRDefault="00802AE6" w:rsidP="00802AE6">
      <w:pPr>
        <w:pStyle w:val="Heading1"/>
        <w:rPr>
          <w:sz w:val="28"/>
        </w:rPr>
      </w:pPr>
      <w:r w:rsidRPr="00B84BE6">
        <w:rPr>
          <w:sz w:val="28"/>
        </w:rPr>
        <w:t>Work Experience</w:t>
      </w:r>
      <w:r>
        <w:rPr>
          <w:sz w:val="28"/>
        </w:rPr>
        <w:t xml:space="preserve"> (Summary)</w:t>
      </w:r>
    </w:p>
    <w:p w:rsidR="00802AE6" w:rsidRPr="008C2F87" w:rsidRDefault="00802AE6" w:rsidP="00802AE6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</w:p>
    <w:tbl>
      <w:tblPr>
        <w:tblStyle w:val="PlainTable2"/>
        <w:tblW w:w="10008" w:type="dxa"/>
        <w:tblLayout w:type="fixed"/>
        <w:tblLook w:val="0420" w:firstRow="1" w:lastRow="0" w:firstColumn="0" w:lastColumn="0" w:noHBand="0" w:noVBand="1"/>
      </w:tblPr>
      <w:tblGrid>
        <w:gridCol w:w="2700"/>
        <w:gridCol w:w="1978"/>
        <w:gridCol w:w="2900"/>
        <w:gridCol w:w="1350"/>
        <w:gridCol w:w="1080"/>
      </w:tblGrid>
      <w:tr w:rsidR="00802AE6" w:rsidRPr="004461BC" w:rsidTr="0044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:rsidR="00802AE6" w:rsidRPr="004461BC" w:rsidRDefault="00802AE6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4461BC">
              <w:rPr>
                <w:rFonts w:ascii="Arial" w:hAnsi="Arial" w:cs="Arial"/>
                <w:bCs w:val="0"/>
              </w:rPr>
              <w:t>Organization/Firm</w:t>
            </w:r>
          </w:p>
        </w:tc>
        <w:tc>
          <w:tcPr>
            <w:tcW w:w="1978" w:type="dxa"/>
          </w:tcPr>
          <w:p w:rsidR="00802AE6" w:rsidRPr="004461BC" w:rsidRDefault="00802AE6" w:rsidP="0089210A">
            <w:pPr>
              <w:spacing w:before="20" w:after="20"/>
              <w:rPr>
                <w:rFonts w:ascii="Arial" w:hAnsi="Arial" w:cs="Arial"/>
              </w:rPr>
            </w:pPr>
            <w:r w:rsidRPr="004461BC">
              <w:rPr>
                <w:rFonts w:ascii="Arial" w:hAnsi="Arial" w:cs="Arial"/>
                <w:bCs w:val="0"/>
              </w:rPr>
              <w:t xml:space="preserve">Designation </w:t>
            </w:r>
          </w:p>
        </w:tc>
        <w:tc>
          <w:tcPr>
            <w:tcW w:w="2900" w:type="dxa"/>
          </w:tcPr>
          <w:p w:rsidR="00802AE6" w:rsidRPr="004461BC" w:rsidRDefault="00802AE6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4461BC">
              <w:rPr>
                <w:rFonts w:ascii="Arial" w:hAnsi="Arial" w:cs="Arial"/>
                <w:bCs w:val="0"/>
              </w:rPr>
              <w:t xml:space="preserve">Responsibilities </w:t>
            </w:r>
          </w:p>
        </w:tc>
        <w:tc>
          <w:tcPr>
            <w:tcW w:w="1350" w:type="dxa"/>
          </w:tcPr>
          <w:p w:rsidR="00802AE6" w:rsidRPr="004461BC" w:rsidRDefault="00802AE6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4461BC">
              <w:rPr>
                <w:rFonts w:ascii="Arial" w:hAnsi="Arial" w:cs="Arial"/>
                <w:bCs w:val="0"/>
              </w:rPr>
              <w:t>From</w:t>
            </w:r>
          </w:p>
        </w:tc>
        <w:tc>
          <w:tcPr>
            <w:tcW w:w="1080" w:type="dxa"/>
          </w:tcPr>
          <w:p w:rsidR="00802AE6" w:rsidRPr="004461BC" w:rsidRDefault="00802AE6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4461BC">
              <w:rPr>
                <w:rFonts w:ascii="Arial" w:hAnsi="Arial" w:cs="Arial"/>
                <w:bCs w:val="0"/>
              </w:rPr>
              <w:t>To</w:t>
            </w:r>
          </w:p>
        </w:tc>
      </w:tr>
      <w:tr w:rsidR="00802AE6" w:rsidTr="0044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700" w:type="dxa"/>
            <w:vMerge w:val="restart"/>
          </w:tcPr>
          <w:p w:rsidR="00802AE6" w:rsidRDefault="00802AE6" w:rsidP="0089210A"/>
        </w:tc>
        <w:tc>
          <w:tcPr>
            <w:tcW w:w="1978" w:type="dxa"/>
            <w:vAlign w:val="center"/>
          </w:tcPr>
          <w:p w:rsidR="00802AE6" w:rsidRPr="004461BC" w:rsidRDefault="00802AE6" w:rsidP="004461B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4461BC">
              <w:rPr>
                <w:rFonts w:ascii="Arial" w:hAnsi="Arial" w:cs="Arial"/>
                <w:b/>
                <w:sz w:val="20"/>
              </w:rPr>
              <w:t>Manager-Finance</w:t>
            </w:r>
          </w:p>
        </w:tc>
        <w:tc>
          <w:tcPr>
            <w:tcW w:w="2900" w:type="dxa"/>
          </w:tcPr>
          <w:p w:rsidR="00802AE6" w:rsidRDefault="00802AE6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Reporting and taxation coordinate with auditors.</w:t>
            </w:r>
          </w:p>
        </w:tc>
        <w:tc>
          <w:tcPr>
            <w:tcW w:w="135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108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</w:t>
            </w:r>
          </w:p>
        </w:tc>
      </w:tr>
      <w:tr w:rsidR="00802AE6" w:rsidTr="004461BC">
        <w:tc>
          <w:tcPr>
            <w:tcW w:w="2700" w:type="dxa"/>
            <w:vMerge/>
          </w:tcPr>
          <w:p w:rsidR="00802AE6" w:rsidRDefault="00802AE6" w:rsidP="0089210A"/>
        </w:tc>
        <w:tc>
          <w:tcPr>
            <w:tcW w:w="1978" w:type="dxa"/>
            <w:vAlign w:val="center"/>
          </w:tcPr>
          <w:p w:rsidR="00802AE6" w:rsidRPr="004461BC" w:rsidRDefault="00802AE6" w:rsidP="004461B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4461BC">
              <w:rPr>
                <w:rFonts w:ascii="Arial" w:hAnsi="Arial" w:cs="Arial"/>
                <w:b/>
                <w:sz w:val="20"/>
              </w:rPr>
              <w:t>Deputy Manager-Finance</w:t>
            </w:r>
          </w:p>
        </w:tc>
        <w:tc>
          <w:tcPr>
            <w:tcW w:w="2900" w:type="dxa"/>
          </w:tcPr>
          <w:p w:rsidR="00802AE6" w:rsidRDefault="00802AE6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Reporting and taxation coordinate with auditors.</w:t>
            </w:r>
          </w:p>
        </w:tc>
        <w:tc>
          <w:tcPr>
            <w:tcW w:w="135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108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</w:tr>
      <w:tr w:rsidR="00802AE6" w:rsidTr="0044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  <w:vMerge/>
          </w:tcPr>
          <w:p w:rsidR="00802AE6" w:rsidRDefault="00802AE6" w:rsidP="0089210A"/>
        </w:tc>
        <w:tc>
          <w:tcPr>
            <w:tcW w:w="1978" w:type="dxa"/>
            <w:vAlign w:val="center"/>
          </w:tcPr>
          <w:p w:rsidR="00802AE6" w:rsidRPr="004461BC" w:rsidRDefault="00802AE6" w:rsidP="004461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61BC">
              <w:rPr>
                <w:rFonts w:ascii="Arial" w:hAnsi="Arial" w:cs="Arial"/>
                <w:b/>
                <w:sz w:val="20"/>
              </w:rPr>
              <w:t>Assistant Manager-Finance</w:t>
            </w:r>
          </w:p>
        </w:tc>
        <w:tc>
          <w:tcPr>
            <w:tcW w:w="2900" w:type="dxa"/>
          </w:tcPr>
          <w:p w:rsidR="00802AE6" w:rsidRDefault="00802AE6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accounting, reconciliations, reporting and coordinate with auditors.</w:t>
            </w:r>
          </w:p>
        </w:tc>
        <w:tc>
          <w:tcPr>
            <w:tcW w:w="135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108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</w:p>
        </w:tc>
      </w:tr>
      <w:tr w:rsidR="00802AE6" w:rsidTr="004461BC">
        <w:tc>
          <w:tcPr>
            <w:tcW w:w="2700" w:type="dxa"/>
            <w:vMerge/>
          </w:tcPr>
          <w:p w:rsidR="00802AE6" w:rsidRDefault="00802AE6" w:rsidP="0089210A"/>
        </w:tc>
        <w:tc>
          <w:tcPr>
            <w:tcW w:w="1978" w:type="dxa"/>
            <w:vAlign w:val="center"/>
          </w:tcPr>
          <w:p w:rsidR="00802AE6" w:rsidRPr="004461BC" w:rsidRDefault="00802AE6" w:rsidP="004461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61BC">
              <w:rPr>
                <w:rFonts w:ascii="Arial" w:hAnsi="Arial" w:cs="Arial"/>
                <w:b/>
                <w:sz w:val="20"/>
              </w:rPr>
              <w:t>Senior Accountant.</w:t>
            </w:r>
          </w:p>
        </w:tc>
        <w:tc>
          <w:tcPr>
            <w:tcW w:w="2900" w:type="dxa"/>
          </w:tcPr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Financial accounting, GL and entries, reconciliations, </w:t>
            </w:r>
            <w:r w:rsidR="004461BC">
              <w:rPr>
                <w:rFonts w:ascii="Arial" w:hAnsi="Arial" w:cs="Arial"/>
                <w:sz w:val="20"/>
              </w:rPr>
              <w:t>reporting.</w:t>
            </w:r>
          </w:p>
        </w:tc>
        <w:tc>
          <w:tcPr>
            <w:tcW w:w="1350" w:type="dxa"/>
          </w:tcPr>
          <w:p w:rsidR="004461BC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2008</w:t>
            </w:r>
          </w:p>
        </w:tc>
        <w:tc>
          <w:tcPr>
            <w:tcW w:w="1080" w:type="dxa"/>
          </w:tcPr>
          <w:p w:rsidR="004461BC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Dec </w:t>
            </w:r>
          </w:p>
          <w:p w:rsidR="00802AE6" w:rsidRDefault="00802AE6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2008</w:t>
            </w:r>
          </w:p>
          <w:p w:rsidR="00553CB0" w:rsidRDefault="00553CB0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53CB0" w:rsidRDefault="00553CB0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53CB0" w:rsidRDefault="00553CB0" w:rsidP="004461B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802AE6" w:rsidTr="0044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00" w:type="dxa"/>
          </w:tcPr>
          <w:p w:rsidR="002067FF" w:rsidRDefault="002067FF" w:rsidP="0089210A"/>
          <w:p w:rsidR="00802AE6" w:rsidRDefault="00A9345B" w:rsidP="0089210A">
            <w:r>
              <w:fldChar w:fldCharType="begin"/>
            </w:r>
            <w:r w:rsidR="00802AE6">
              <w:instrText xml:space="preserve"> INCLUDEPICTURE "http://www.deloitte.com/deloitte-ecm-cm-dpm-web/images/dcom/new_deloitte_logo.gif" \* MERGEFORMATINET </w:instrText>
            </w:r>
            <w:r>
              <w:fldChar w:fldCharType="separate"/>
            </w:r>
            <w:r w:rsidR="00A55472">
              <w:fldChar w:fldCharType="begin"/>
            </w:r>
            <w:r w:rsidR="00A55472">
              <w:instrText xml:space="preserve"> </w:instrText>
            </w:r>
            <w:r w:rsidR="00A55472">
              <w:instrText>INCLUDEPICTURE  "http://www.deloitte.com/deloitte-ecm-cm-dpm-web/images/dcom/new_deloitte_logo.gif" \* MERGEFORMATINET</w:instrText>
            </w:r>
            <w:r w:rsidR="00A55472">
              <w:instrText xml:space="preserve"> </w:instrText>
            </w:r>
            <w:r w:rsidR="00A55472">
              <w:fldChar w:fldCharType="separate"/>
            </w:r>
            <w:r w:rsidR="00A554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k" style="width:93.05pt;height:20.3pt">
                  <v:imagedata r:id="rId9" r:href="rId10"/>
                </v:shape>
              </w:pict>
            </w:r>
            <w:r w:rsidR="00A55472">
              <w:fldChar w:fldCharType="end"/>
            </w:r>
            <w:r>
              <w:fldChar w:fldCharType="end"/>
            </w:r>
          </w:p>
          <w:p w:rsidR="00802AE6" w:rsidRDefault="00802AE6" w:rsidP="0089210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02AE6" w:rsidRPr="002F6269" w:rsidRDefault="00802AE6" w:rsidP="008921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Yousuf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Adil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Saleem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&amp; Co., Chartered Accountants,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(Deloitte Pakistan), is a member of Deloitte Touché Tohmatsu Limited</w:t>
            </w:r>
          </w:p>
        </w:tc>
        <w:tc>
          <w:tcPr>
            <w:tcW w:w="1978" w:type="dxa"/>
          </w:tcPr>
          <w:p w:rsidR="00553CB0" w:rsidRDefault="00553CB0" w:rsidP="0089210A">
            <w:pPr>
              <w:rPr>
                <w:rFonts w:ascii="Arial" w:hAnsi="Arial" w:cs="Arial"/>
                <w:b/>
                <w:sz w:val="20"/>
              </w:rPr>
            </w:pPr>
          </w:p>
          <w:p w:rsidR="002067FF" w:rsidRDefault="002067FF" w:rsidP="0089210A">
            <w:pPr>
              <w:rPr>
                <w:rFonts w:ascii="Arial" w:hAnsi="Arial" w:cs="Arial"/>
                <w:b/>
                <w:sz w:val="20"/>
              </w:rPr>
            </w:pPr>
          </w:p>
          <w:p w:rsidR="00802AE6" w:rsidRPr="004461BC" w:rsidRDefault="00802AE6" w:rsidP="0089210A">
            <w:pPr>
              <w:rPr>
                <w:rFonts w:ascii="Arial" w:hAnsi="Arial" w:cs="Arial"/>
                <w:b/>
                <w:sz w:val="20"/>
              </w:rPr>
            </w:pPr>
            <w:r w:rsidRPr="004461BC">
              <w:rPr>
                <w:rFonts w:ascii="Arial" w:hAnsi="Arial" w:cs="Arial"/>
                <w:b/>
                <w:sz w:val="20"/>
              </w:rPr>
              <w:t xml:space="preserve">Appointed Junior level auditor and continue till </w:t>
            </w:r>
            <w:r w:rsidRPr="004461BC">
              <w:rPr>
                <w:rFonts w:ascii="Arial" w:hAnsi="Arial" w:cs="Arial"/>
                <w:b/>
                <w:sz w:val="20"/>
              </w:rPr>
              <w:lastRenderedPageBreak/>
              <w:t>article ship completed as a Senior</w:t>
            </w:r>
            <w:r w:rsidR="002067FF">
              <w:rPr>
                <w:rFonts w:ascii="Arial" w:hAnsi="Arial" w:cs="Arial"/>
                <w:b/>
                <w:sz w:val="20"/>
              </w:rPr>
              <w:t>/supervisor</w:t>
            </w:r>
            <w:r w:rsidRPr="004461BC">
              <w:rPr>
                <w:rFonts w:ascii="Arial" w:hAnsi="Arial" w:cs="Arial"/>
                <w:b/>
                <w:sz w:val="20"/>
              </w:rPr>
              <w:t xml:space="preserve"> Auditor </w:t>
            </w:r>
          </w:p>
          <w:p w:rsidR="00802AE6" w:rsidRPr="004461BC" w:rsidRDefault="00802AE6" w:rsidP="0089210A">
            <w:pPr>
              <w:rPr>
                <w:rFonts w:ascii="Arial" w:hAnsi="Arial" w:cs="Arial"/>
                <w:b/>
                <w:sz w:val="20"/>
              </w:rPr>
            </w:pPr>
          </w:p>
          <w:p w:rsidR="00802AE6" w:rsidRPr="004461BC" w:rsidRDefault="00802AE6" w:rsidP="008921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00" w:type="dxa"/>
          </w:tcPr>
          <w:p w:rsidR="00553CB0" w:rsidRDefault="00553CB0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</w:p>
          <w:p w:rsidR="00802AE6" w:rsidRDefault="00802AE6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audits.</w:t>
            </w:r>
          </w:p>
          <w:p w:rsidR="00802AE6" w:rsidRDefault="00802AE6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Half yearly reviews.</w:t>
            </w:r>
          </w:p>
          <w:p w:rsidR="00802AE6" w:rsidRDefault="00802AE6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audit and agreed upon procedures.</w:t>
            </w:r>
          </w:p>
          <w:p w:rsidR="00802AE6" w:rsidRDefault="00802AE6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Due diligence assignment.</w:t>
            </w:r>
          </w:p>
          <w:p w:rsidR="00802AE6" w:rsidRDefault="00802AE6" w:rsidP="0089210A">
            <w:pPr>
              <w:spacing w:before="20" w:after="20"/>
              <w:ind w:left="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review etc.</w:t>
            </w:r>
          </w:p>
        </w:tc>
        <w:tc>
          <w:tcPr>
            <w:tcW w:w="1350" w:type="dxa"/>
          </w:tcPr>
          <w:p w:rsidR="00553CB0" w:rsidRDefault="00553CB0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  <w:p w:rsidR="00802AE6" w:rsidRDefault="00802AE6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  2003</w:t>
            </w:r>
          </w:p>
        </w:tc>
        <w:tc>
          <w:tcPr>
            <w:tcW w:w="1080" w:type="dxa"/>
          </w:tcPr>
          <w:p w:rsidR="00553CB0" w:rsidRDefault="00553CB0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  <w:p w:rsidR="00802AE6" w:rsidRDefault="002067FF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</w:t>
            </w:r>
            <w:r w:rsidR="00802AE6">
              <w:rPr>
                <w:rFonts w:ascii="Arial" w:hAnsi="Arial" w:cs="Arial"/>
                <w:sz w:val="20"/>
              </w:rPr>
              <w:t xml:space="preserve"> 2008</w:t>
            </w:r>
          </w:p>
        </w:tc>
      </w:tr>
    </w:tbl>
    <w:p w:rsidR="00802AE6" w:rsidRDefault="00802AE6" w:rsidP="00802AE6">
      <w:pPr>
        <w:rPr>
          <w:b/>
          <w:bCs/>
          <w:sz w:val="22"/>
        </w:rPr>
      </w:pPr>
    </w:p>
    <w:p w:rsidR="00802AE6" w:rsidRPr="00B84BE6" w:rsidRDefault="00802AE6" w:rsidP="00802AE6">
      <w:pPr>
        <w:pStyle w:val="Heading1"/>
        <w:rPr>
          <w:sz w:val="28"/>
        </w:rPr>
      </w:pPr>
      <w:r w:rsidRPr="00B84BE6">
        <w:rPr>
          <w:sz w:val="28"/>
        </w:rPr>
        <w:t>Work Experience Detail</w:t>
      </w:r>
    </w:p>
    <w:p w:rsidR="00553CB0" w:rsidRDefault="00553CB0" w:rsidP="00802AE6">
      <w:pPr>
        <w:pStyle w:val="Heading3"/>
        <w:rPr>
          <w:b/>
          <w:color w:val="000000" w:themeColor="text1"/>
          <w:sz w:val="32"/>
        </w:rPr>
      </w:pPr>
    </w:p>
    <w:p w:rsidR="00802AE6" w:rsidRPr="00553CB0" w:rsidRDefault="00802AE6" w:rsidP="00802AE6">
      <w:pPr>
        <w:pStyle w:val="Heading3"/>
        <w:rPr>
          <w:b/>
          <w:color w:val="000000" w:themeColor="text1"/>
          <w:sz w:val="32"/>
        </w:rPr>
      </w:pPr>
      <w:proofErr w:type="spellStart"/>
      <w:r w:rsidRPr="00553CB0">
        <w:rPr>
          <w:b/>
          <w:color w:val="000000" w:themeColor="text1"/>
          <w:sz w:val="32"/>
        </w:rPr>
        <w:t>Dawood</w:t>
      </w:r>
      <w:proofErr w:type="spellEnd"/>
      <w:r w:rsidRPr="00553CB0">
        <w:rPr>
          <w:b/>
          <w:color w:val="000000" w:themeColor="text1"/>
          <w:sz w:val="32"/>
        </w:rPr>
        <w:t xml:space="preserve"> Family Takaful Limited</w:t>
      </w:r>
    </w:p>
    <w:p w:rsidR="00802AE6" w:rsidRDefault="00802AE6" w:rsidP="00802AE6">
      <w:pPr>
        <w:rPr>
          <w:rFonts w:ascii="Arial" w:hAnsi="Arial" w:cs="Arial"/>
          <w:sz w:val="20"/>
        </w:rPr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9558"/>
      </w:tblGrid>
      <w:tr w:rsidR="00802AE6" w:rsidRPr="006C4425" w:rsidTr="0089210A">
        <w:tc>
          <w:tcPr>
            <w:tcW w:w="9558" w:type="dxa"/>
          </w:tcPr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C6807">
              <w:rPr>
                <w:rFonts w:ascii="Arial" w:hAnsi="Arial" w:cs="Arial"/>
                <w:sz w:val="20"/>
              </w:rPr>
              <w:t xml:space="preserve">Preparation of Financial statement (quarterly and annually) reports </w:t>
            </w:r>
            <w:r>
              <w:rPr>
                <w:rFonts w:ascii="Arial" w:hAnsi="Arial" w:cs="Arial"/>
                <w:sz w:val="20"/>
              </w:rPr>
              <w:t>for</w:t>
            </w:r>
            <w:r w:rsidRPr="001C6807">
              <w:rPr>
                <w:rFonts w:ascii="Arial" w:hAnsi="Arial" w:cs="Arial"/>
                <w:sz w:val="20"/>
              </w:rPr>
              <w:t xml:space="preserve"> CFO and </w:t>
            </w:r>
            <w:r>
              <w:rPr>
                <w:rFonts w:ascii="Arial" w:hAnsi="Arial" w:cs="Arial"/>
                <w:sz w:val="20"/>
              </w:rPr>
              <w:t>VP Finance.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Finalization of company’s income tax return.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Coordinate with tax advisor regarding matters related with FBR. 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Filling of withholding tax return and advance tax payments for tax advisor.  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C6807">
              <w:rPr>
                <w:rFonts w:ascii="Arial" w:hAnsi="Arial" w:cs="Arial"/>
                <w:sz w:val="20"/>
              </w:rPr>
              <w:t>Preparation of Quarterly returns for submission in Securities and Exchange Commission of Pakistan.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46AF7">
              <w:rPr>
                <w:rFonts w:ascii="Arial" w:hAnsi="Arial" w:cs="Arial"/>
                <w:sz w:val="20"/>
              </w:rPr>
              <w:t>Review and finaliz</w:t>
            </w:r>
            <w:r>
              <w:rPr>
                <w:rFonts w:ascii="Arial" w:hAnsi="Arial" w:cs="Arial"/>
                <w:sz w:val="20"/>
              </w:rPr>
              <w:t>ation of</w:t>
            </w:r>
            <w:r w:rsidRPr="00246AF7">
              <w:rPr>
                <w:rFonts w:ascii="Arial" w:hAnsi="Arial" w:cs="Arial"/>
                <w:sz w:val="20"/>
              </w:rPr>
              <w:t xml:space="preserve"> Trial </w:t>
            </w:r>
            <w:r>
              <w:rPr>
                <w:rFonts w:ascii="Arial" w:hAnsi="Arial" w:cs="Arial"/>
                <w:sz w:val="20"/>
              </w:rPr>
              <w:t>B</w:t>
            </w:r>
            <w:r w:rsidRPr="00246AF7">
              <w:rPr>
                <w:rFonts w:ascii="Arial" w:hAnsi="Arial" w:cs="Arial"/>
                <w:sz w:val="20"/>
              </w:rPr>
              <w:t xml:space="preserve">alance and General </w:t>
            </w:r>
            <w:r>
              <w:rPr>
                <w:rFonts w:ascii="Arial" w:hAnsi="Arial" w:cs="Arial"/>
                <w:sz w:val="20"/>
              </w:rPr>
              <w:t>L</w:t>
            </w:r>
            <w:r w:rsidRPr="00246AF7">
              <w:rPr>
                <w:rFonts w:ascii="Arial" w:hAnsi="Arial" w:cs="Arial"/>
                <w:sz w:val="20"/>
              </w:rPr>
              <w:t>edger.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46AF7">
              <w:rPr>
                <w:rFonts w:ascii="Arial" w:hAnsi="Arial" w:cs="Arial"/>
                <w:sz w:val="20"/>
              </w:rPr>
              <w:t xml:space="preserve">Month end schedules of </w:t>
            </w:r>
            <w:r w:rsidRPr="008044BD">
              <w:rPr>
                <w:rFonts w:ascii="Arial" w:hAnsi="Arial" w:cs="Arial"/>
                <w:i/>
                <w:sz w:val="20"/>
              </w:rPr>
              <w:t xml:space="preserve">“Investment Income”, “Accruals Summary”, “Fixed Assets”, “Capital Work in Progress” </w:t>
            </w:r>
            <w:r w:rsidRPr="008044BD">
              <w:rPr>
                <w:rFonts w:ascii="Arial" w:hAnsi="Arial" w:cs="Arial"/>
                <w:sz w:val="20"/>
              </w:rPr>
              <w:t>and</w:t>
            </w:r>
            <w:r w:rsidRPr="008044BD">
              <w:rPr>
                <w:rFonts w:ascii="Arial" w:hAnsi="Arial" w:cs="Arial"/>
                <w:i/>
                <w:sz w:val="20"/>
              </w:rPr>
              <w:t xml:space="preserve"> “Advances Paid”</w:t>
            </w:r>
            <w:r w:rsidRPr="00246AF7">
              <w:rPr>
                <w:rFonts w:ascii="Arial" w:hAnsi="Arial" w:cs="Arial"/>
                <w:sz w:val="20"/>
              </w:rPr>
              <w:t xml:space="preserve">.  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C6807">
              <w:rPr>
                <w:rFonts w:ascii="Arial" w:hAnsi="Arial" w:cs="Arial"/>
                <w:sz w:val="20"/>
              </w:rPr>
              <w:t xml:space="preserve">Review </w:t>
            </w:r>
            <w:r>
              <w:rPr>
                <w:rFonts w:ascii="Arial" w:hAnsi="Arial" w:cs="Arial"/>
                <w:sz w:val="20"/>
              </w:rPr>
              <w:t>Monthly B</w:t>
            </w:r>
            <w:r w:rsidRPr="001C6807">
              <w:rPr>
                <w:rFonts w:ascii="Arial" w:hAnsi="Arial" w:cs="Arial"/>
                <w:sz w:val="20"/>
              </w:rPr>
              <w:t>ank reconciliation</w:t>
            </w:r>
            <w:r>
              <w:rPr>
                <w:rFonts w:ascii="Arial" w:hAnsi="Arial" w:cs="Arial"/>
                <w:sz w:val="20"/>
              </w:rPr>
              <w:t>s.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</w:t>
            </w:r>
            <w:r w:rsidRPr="001C6807">
              <w:rPr>
                <w:rFonts w:ascii="Arial" w:hAnsi="Arial" w:cs="Arial"/>
                <w:sz w:val="20"/>
              </w:rPr>
              <w:t xml:space="preserve"> daily fund position</w:t>
            </w:r>
            <w:r>
              <w:rPr>
                <w:rFonts w:ascii="Arial" w:hAnsi="Arial" w:cs="Arial"/>
                <w:sz w:val="20"/>
              </w:rPr>
              <w:t xml:space="preserve"> and its management</w:t>
            </w:r>
            <w:r w:rsidRPr="001C6807">
              <w:rPr>
                <w:rFonts w:ascii="Arial" w:hAnsi="Arial" w:cs="Arial"/>
                <w:sz w:val="20"/>
              </w:rPr>
              <w:t>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Supervising and reviewing </w:t>
            </w:r>
            <w:r w:rsidRPr="00246AF7">
              <w:rPr>
                <w:rFonts w:ascii="Arial" w:hAnsi="Arial" w:cs="Arial"/>
                <w:sz w:val="20"/>
              </w:rPr>
              <w:t xml:space="preserve">work. 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Timely co</w:t>
            </w:r>
            <w:r w:rsidRPr="00246AF7">
              <w:rPr>
                <w:rFonts w:ascii="Arial" w:hAnsi="Arial" w:cs="Arial"/>
                <w:sz w:val="20"/>
              </w:rPr>
              <w:t>ordinat</w:t>
            </w:r>
            <w:r>
              <w:rPr>
                <w:rFonts w:ascii="Arial" w:hAnsi="Arial" w:cs="Arial"/>
                <w:sz w:val="20"/>
              </w:rPr>
              <w:t>ion</w:t>
            </w:r>
            <w:r w:rsidRPr="00246AF7">
              <w:rPr>
                <w:rFonts w:ascii="Arial" w:hAnsi="Arial" w:cs="Arial"/>
                <w:sz w:val="20"/>
              </w:rPr>
              <w:t xml:space="preserve"> with the branch officers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02AE6" w:rsidRPr="00246AF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246AF7">
              <w:rPr>
                <w:rFonts w:ascii="Arial" w:hAnsi="Arial" w:cs="Arial"/>
                <w:sz w:val="20"/>
              </w:rPr>
              <w:t xml:space="preserve">Head office directions and other correspondence </w:t>
            </w:r>
            <w:r>
              <w:rPr>
                <w:rFonts w:ascii="Arial" w:hAnsi="Arial" w:cs="Arial"/>
                <w:sz w:val="20"/>
              </w:rPr>
              <w:t>with branch officer</w:t>
            </w:r>
            <w:r w:rsidRPr="00246AF7">
              <w:rPr>
                <w:rFonts w:ascii="Arial" w:hAnsi="Arial" w:cs="Arial"/>
                <w:sz w:val="20"/>
              </w:rPr>
              <w:t>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C6807">
              <w:rPr>
                <w:rFonts w:ascii="Arial" w:hAnsi="Arial" w:cs="Arial"/>
                <w:sz w:val="20"/>
              </w:rPr>
              <w:t>Coordination with external auditor on year ended audit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02AE6" w:rsidRPr="001C6807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1C6807">
              <w:rPr>
                <w:rFonts w:ascii="Arial" w:hAnsi="Arial" w:cs="Arial"/>
                <w:sz w:val="20"/>
              </w:rPr>
              <w:t>inalized accounts on the basis of IFRS and SECP regulations</w:t>
            </w:r>
            <w:r>
              <w:rPr>
                <w:rFonts w:ascii="Arial" w:hAnsi="Arial" w:cs="Arial"/>
                <w:sz w:val="20"/>
              </w:rPr>
              <w:t xml:space="preserve"> for auditor</w:t>
            </w:r>
            <w:r w:rsidRPr="001C6807">
              <w:rPr>
                <w:rFonts w:ascii="Arial" w:hAnsi="Arial" w:cs="Arial"/>
                <w:sz w:val="20"/>
              </w:rPr>
              <w:t>.</w:t>
            </w:r>
          </w:p>
          <w:p w:rsidR="00802AE6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1C6807">
              <w:rPr>
                <w:rFonts w:ascii="Arial" w:hAnsi="Arial" w:cs="Arial"/>
                <w:sz w:val="20"/>
              </w:rPr>
              <w:t>Coordination with internal auditors on quarterly basis and resolve the observations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02AE6" w:rsidRPr="00401B01" w:rsidRDefault="00802AE6" w:rsidP="0089210A">
            <w:pPr>
              <w:numPr>
                <w:ilvl w:val="1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401B01">
              <w:rPr>
                <w:rFonts w:ascii="Arial" w:hAnsi="Arial" w:cs="Arial"/>
                <w:sz w:val="20"/>
              </w:rPr>
              <w:t xml:space="preserve">Closing year ended Trial balances. </w:t>
            </w:r>
          </w:p>
          <w:p w:rsidR="00553CB0" w:rsidRDefault="00553CB0" w:rsidP="00553CB0">
            <w:pPr>
              <w:jc w:val="both"/>
              <w:rPr>
                <w:rFonts w:ascii="Arial" w:hAnsi="Arial" w:cs="Arial"/>
                <w:b/>
              </w:rPr>
            </w:pPr>
          </w:p>
          <w:p w:rsidR="00553CB0" w:rsidRDefault="00802AE6" w:rsidP="00553CB0">
            <w:pPr>
              <w:jc w:val="both"/>
              <w:rPr>
                <w:rFonts w:ascii="Arial" w:hAnsi="Arial" w:cs="Arial"/>
                <w:b/>
              </w:rPr>
            </w:pPr>
            <w:r w:rsidRPr="00401B01">
              <w:rPr>
                <w:rFonts w:ascii="Arial" w:hAnsi="Arial" w:cs="Arial"/>
                <w:b/>
              </w:rPr>
              <w:t>Accounting system implementation and development:</w:t>
            </w:r>
          </w:p>
          <w:p w:rsidR="00553CB0" w:rsidRDefault="00553CB0" w:rsidP="00553CB0">
            <w:pPr>
              <w:jc w:val="both"/>
              <w:rPr>
                <w:rFonts w:ascii="Arial" w:hAnsi="Arial" w:cs="Arial"/>
                <w:b/>
              </w:rPr>
            </w:pPr>
          </w:p>
          <w:p w:rsidR="00802AE6" w:rsidRPr="00401B01" w:rsidRDefault="00802AE6" w:rsidP="00553CB0">
            <w:pPr>
              <w:jc w:val="both"/>
              <w:rPr>
                <w:rFonts w:ascii="Arial" w:hAnsi="Arial" w:cs="Arial"/>
                <w:sz w:val="20"/>
              </w:rPr>
            </w:pPr>
            <w:r w:rsidRPr="00D30683">
              <w:rPr>
                <w:rFonts w:ascii="Arial" w:hAnsi="Arial" w:cs="Arial"/>
                <w:sz w:val="20"/>
              </w:rPr>
              <w:t xml:space="preserve">Co-ordinate with IT department </w:t>
            </w:r>
            <w:r>
              <w:rPr>
                <w:rFonts w:ascii="Arial" w:hAnsi="Arial" w:cs="Arial"/>
                <w:sz w:val="20"/>
              </w:rPr>
              <w:t>to maintain</w:t>
            </w:r>
            <w:r w:rsidRPr="00D30683">
              <w:rPr>
                <w:rFonts w:ascii="Arial" w:hAnsi="Arial" w:cs="Arial"/>
                <w:sz w:val="20"/>
              </w:rPr>
              <w:t xml:space="preserve"> chart of accounts </w:t>
            </w:r>
            <w:r>
              <w:rPr>
                <w:rFonts w:ascii="Arial" w:hAnsi="Arial" w:cs="Arial"/>
                <w:sz w:val="20"/>
              </w:rPr>
              <w:t xml:space="preserve">(Shareholder Fund, Statutory Fund and PIF) </w:t>
            </w:r>
            <w:r w:rsidRPr="00D30683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prepare </w:t>
            </w:r>
            <w:r w:rsidRPr="00D30683">
              <w:rPr>
                <w:rFonts w:ascii="Arial" w:hAnsi="Arial" w:cs="Arial"/>
                <w:sz w:val="20"/>
              </w:rPr>
              <w:t xml:space="preserve">automated general entries </w:t>
            </w:r>
            <w:r>
              <w:rPr>
                <w:rFonts w:ascii="Arial" w:hAnsi="Arial" w:cs="Arial"/>
                <w:sz w:val="20"/>
              </w:rPr>
              <w:t>with</w:t>
            </w:r>
            <w:r w:rsidRPr="00D30683">
              <w:rPr>
                <w:rFonts w:ascii="Arial" w:hAnsi="Arial" w:cs="Arial"/>
                <w:sz w:val="20"/>
              </w:rPr>
              <w:t xml:space="preserve"> respect </w:t>
            </w:r>
            <w:proofErr w:type="spellStart"/>
            <w:r>
              <w:rPr>
                <w:rFonts w:ascii="Arial" w:hAnsi="Arial" w:cs="Arial"/>
                <w:sz w:val="20"/>
              </w:rPr>
              <w:t>toprocessof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D30683">
              <w:rPr>
                <w:rFonts w:ascii="Arial" w:hAnsi="Arial" w:cs="Arial"/>
                <w:sz w:val="20"/>
              </w:rPr>
              <w:t xml:space="preserve">collection, process of business (PTF, PIF, </w:t>
            </w:r>
            <w:proofErr w:type="spellStart"/>
            <w:proofErr w:type="gramStart"/>
            <w:r w:rsidRPr="00D30683">
              <w:rPr>
                <w:rFonts w:ascii="Arial" w:hAnsi="Arial" w:cs="Arial"/>
                <w:sz w:val="20"/>
              </w:rPr>
              <w:t>Wakala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), agency (C</w:t>
            </w:r>
            <w:r w:rsidRPr="00D30683">
              <w:rPr>
                <w:rFonts w:ascii="Arial" w:hAnsi="Arial" w:cs="Arial"/>
                <w:sz w:val="20"/>
              </w:rPr>
              <w:t>ommission entries),</w:t>
            </w:r>
            <w:r>
              <w:rPr>
                <w:rFonts w:ascii="Arial" w:hAnsi="Arial" w:cs="Arial"/>
                <w:sz w:val="20"/>
              </w:rPr>
              <w:t xml:space="preserve"> Claims,</w:t>
            </w:r>
            <w:r w:rsidRPr="00D30683">
              <w:rPr>
                <w:rFonts w:ascii="Arial" w:hAnsi="Arial" w:cs="Arial"/>
                <w:sz w:val="20"/>
              </w:rPr>
              <w:t xml:space="preserve"> withdrawals and </w:t>
            </w:r>
            <w:r w:rsidR="002067FF" w:rsidRPr="00D30683">
              <w:rPr>
                <w:rFonts w:ascii="Arial" w:hAnsi="Arial" w:cs="Arial"/>
                <w:sz w:val="20"/>
              </w:rPr>
              <w:t>surrenders.</w:t>
            </w:r>
            <w:r w:rsidR="002067FF">
              <w:rPr>
                <w:rFonts w:ascii="Arial" w:hAnsi="Arial" w:cs="Arial"/>
                <w:sz w:val="20"/>
              </w:rPr>
              <w:t xml:space="preserve"> Maintain</w:t>
            </w:r>
            <w:r>
              <w:rPr>
                <w:rFonts w:ascii="Arial" w:hAnsi="Arial" w:cs="Arial"/>
                <w:sz w:val="20"/>
              </w:rPr>
              <w:t xml:space="preserve"> and develop </w:t>
            </w:r>
            <w:r w:rsidRPr="006C4425">
              <w:rPr>
                <w:rFonts w:ascii="Arial" w:hAnsi="Arial" w:cs="Arial"/>
                <w:sz w:val="20"/>
              </w:rPr>
              <w:t>business report</w:t>
            </w:r>
            <w:r>
              <w:rPr>
                <w:rFonts w:ascii="Arial" w:hAnsi="Arial" w:cs="Arial"/>
                <w:sz w:val="20"/>
              </w:rPr>
              <w:t xml:space="preserve">s as </w:t>
            </w:r>
            <w:proofErr w:type="spellStart"/>
            <w:r>
              <w:rPr>
                <w:rFonts w:ascii="Arial" w:hAnsi="Arial" w:cs="Arial"/>
                <w:sz w:val="20"/>
              </w:rPr>
              <w:t>permanagement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6C4425">
              <w:rPr>
                <w:rFonts w:ascii="Arial" w:hAnsi="Arial" w:cs="Arial"/>
                <w:sz w:val="20"/>
              </w:rPr>
              <w:t>requirements.</w:t>
            </w:r>
          </w:p>
          <w:p w:rsidR="00802AE6" w:rsidRDefault="00802AE6" w:rsidP="0089210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02AE6" w:rsidRDefault="00802AE6" w:rsidP="00802AE6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</w:p>
    <w:p w:rsidR="00802AE6" w:rsidRPr="00553CB0" w:rsidRDefault="00802AE6" w:rsidP="00802AE6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Theme="majorHAnsi" w:eastAsiaTheme="majorEastAsia" w:hAnsiTheme="majorHAnsi" w:cstheme="majorBidi"/>
          <w:b/>
          <w:color w:val="000000" w:themeColor="text1"/>
          <w:sz w:val="32"/>
        </w:rPr>
      </w:pPr>
      <w:r w:rsidRPr="00553CB0"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Deloitte </w:t>
      </w:r>
      <w:proofErr w:type="spellStart"/>
      <w:r w:rsidR="009156D5" w:rsidRPr="00553CB0">
        <w:rPr>
          <w:rFonts w:asciiTheme="majorHAnsi" w:eastAsiaTheme="majorEastAsia" w:hAnsiTheme="majorHAnsi" w:cstheme="majorBidi"/>
          <w:b/>
          <w:color w:val="000000" w:themeColor="text1"/>
          <w:sz w:val="32"/>
        </w:rPr>
        <w:t>Yousuf</w:t>
      </w:r>
      <w:proofErr w:type="spellEnd"/>
      <w:r w:rsidR="009156D5" w:rsidRPr="00553CB0"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 </w:t>
      </w:r>
      <w:proofErr w:type="spellStart"/>
      <w:r w:rsidR="009156D5" w:rsidRPr="00553CB0">
        <w:rPr>
          <w:rFonts w:asciiTheme="majorHAnsi" w:eastAsiaTheme="majorEastAsia" w:hAnsiTheme="majorHAnsi" w:cstheme="majorBidi"/>
          <w:b/>
          <w:color w:val="000000" w:themeColor="text1"/>
          <w:sz w:val="32"/>
        </w:rPr>
        <w:t>Adil</w:t>
      </w:r>
      <w:proofErr w:type="spellEnd"/>
      <w:r w:rsidRPr="00553CB0">
        <w:rPr>
          <w:rFonts w:asciiTheme="majorHAnsi" w:eastAsiaTheme="majorEastAsia" w:hAnsiTheme="majorHAnsi" w:cstheme="majorBidi"/>
          <w:b/>
          <w:color w:val="000000" w:themeColor="text1"/>
          <w:sz w:val="32"/>
        </w:rPr>
        <w:t xml:space="preserve"> Chartered Accountants</w:t>
      </w:r>
    </w:p>
    <w:p w:rsidR="00802AE6" w:rsidRDefault="00802AE6" w:rsidP="00802AE6">
      <w:pPr>
        <w:rPr>
          <w:rFonts w:ascii="Arial" w:hAnsi="Arial" w:cs="Arial"/>
          <w:sz w:val="20"/>
        </w:rPr>
      </w:pP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9350"/>
      </w:tblGrid>
      <w:tr w:rsidR="00802AE6" w:rsidTr="0089210A">
        <w:tc>
          <w:tcPr>
            <w:tcW w:w="9350" w:type="dxa"/>
          </w:tcPr>
          <w:p w:rsidR="00802AE6" w:rsidRPr="005C049E" w:rsidRDefault="00802AE6" w:rsidP="0089210A">
            <w:pPr>
              <w:jc w:val="both"/>
              <w:rPr>
                <w:rFonts w:ascii="Arial" w:hAnsi="Arial" w:cs="Arial"/>
                <w:sz w:val="20"/>
              </w:rPr>
            </w:pPr>
            <w:r w:rsidRPr="005C049E">
              <w:rPr>
                <w:rFonts w:ascii="Arial" w:hAnsi="Arial" w:cs="Arial"/>
                <w:sz w:val="20"/>
              </w:rPr>
              <w:t>During my tenure with the firm, I have been involved in various statutory audits, review engagements, internal audits</w:t>
            </w:r>
            <w:r>
              <w:rPr>
                <w:rFonts w:ascii="Arial" w:hAnsi="Arial" w:cs="Arial"/>
                <w:sz w:val="20"/>
              </w:rPr>
              <w:t xml:space="preserve">, agreed upon procedures and due diligence </w:t>
            </w:r>
            <w:r w:rsidRPr="005C049E">
              <w:rPr>
                <w:rFonts w:ascii="Arial" w:hAnsi="Arial" w:cs="Arial"/>
                <w:sz w:val="20"/>
              </w:rPr>
              <w:t xml:space="preserve">of clients. </w:t>
            </w:r>
          </w:p>
          <w:p w:rsidR="00802AE6" w:rsidRPr="008D7465" w:rsidRDefault="00802AE6" w:rsidP="0089210A">
            <w:pPr>
              <w:ind w:left="-113"/>
              <w:jc w:val="both"/>
              <w:rPr>
                <w:sz w:val="20"/>
                <w:szCs w:val="20"/>
              </w:rPr>
            </w:pPr>
          </w:p>
          <w:p w:rsidR="00802AE6" w:rsidRDefault="00802AE6" w:rsidP="0089210A">
            <w:pPr>
              <w:jc w:val="both"/>
              <w:rPr>
                <w:rFonts w:ascii="Arial" w:hAnsi="Arial" w:cs="Arial"/>
                <w:sz w:val="20"/>
              </w:rPr>
            </w:pPr>
            <w:r w:rsidRPr="005C049E">
              <w:rPr>
                <w:rFonts w:ascii="Arial" w:hAnsi="Arial" w:cs="Arial"/>
                <w:sz w:val="20"/>
              </w:rPr>
              <w:t xml:space="preserve">Worked as Audit Senior in the multicultural and professional environment of Deloitte – Dammam and Deloitte – Jeddah under Global Development Program of Deloitte, from May 2006 to July 2006 and from November 2006 to March 2007 respectively, applying the latest audit practices and methodology in a </w:t>
            </w:r>
            <w:r>
              <w:rPr>
                <w:rFonts w:ascii="Arial" w:hAnsi="Arial" w:cs="Arial"/>
                <w:sz w:val="20"/>
              </w:rPr>
              <w:t>fully computerized environment</w:t>
            </w:r>
          </w:p>
        </w:tc>
      </w:tr>
    </w:tbl>
    <w:p w:rsidR="00802AE6" w:rsidRPr="00802AE6" w:rsidRDefault="00802AE6" w:rsidP="00802A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w w:val="102"/>
          <w:sz w:val="20"/>
          <w:szCs w:val="20"/>
        </w:rPr>
      </w:pPr>
    </w:p>
    <w:p w:rsidR="00050C6D" w:rsidRDefault="00050C6D">
      <w:pPr>
        <w:rPr>
          <w:b/>
          <w:bCs/>
          <w:sz w:val="22"/>
        </w:rPr>
      </w:pPr>
    </w:p>
    <w:p w:rsidR="004461BC" w:rsidRDefault="004461BC">
      <w:pPr>
        <w:rPr>
          <w:b/>
          <w:bCs/>
          <w:sz w:val="22"/>
        </w:rPr>
      </w:pPr>
    </w:p>
    <w:p w:rsidR="004461BC" w:rsidRDefault="004461BC">
      <w:pPr>
        <w:rPr>
          <w:b/>
          <w:bCs/>
          <w:sz w:val="22"/>
        </w:rPr>
      </w:pPr>
    </w:p>
    <w:p w:rsidR="004461BC" w:rsidRDefault="004461BC">
      <w:pPr>
        <w:rPr>
          <w:b/>
          <w:bCs/>
          <w:sz w:val="22"/>
        </w:rPr>
      </w:pPr>
    </w:p>
    <w:p w:rsidR="00760068" w:rsidRPr="00B84BE6" w:rsidRDefault="00760068" w:rsidP="00B84BE6">
      <w:pPr>
        <w:pStyle w:val="Heading1"/>
        <w:rPr>
          <w:sz w:val="28"/>
        </w:rPr>
      </w:pPr>
      <w:r w:rsidRPr="00B84BE6">
        <w:rPr>
          <w:sz w:val="28"/>
        </w:rPr>
        <w:lastRenderedPageBreak/>
        <w:t>Professional &amp; Academic Education</w:t>
      </w:r>
    </w:p>
    <w:p w:rsidR="00760068" w:rsidRPr="00632EC1" w:rsidRDefault="00760068" w:rsidP="00760068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rPr>
          <w:rFonts w:ascii="Arial" w:hAnsi="Arial" w:cs="Arial"/>
          <w:b/>
          <w:bCs/>
          <w:sz w:val="22"/>
        </w:rPr>
      </w:pP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2705"/>
        <w:gridCol w:w="2626"/>
        <w:gridCol w:w="2466"/>
        <w:gridCol w:w="1516"/>
      </w:tblGrid>
      <w:tr w:rsidR="00760068" w:rsidRPr="008C2F87" w:rsidTr="00A9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5" w:type="dxa"/>
          </w:tcPr>
          <w:p w:rsidR="00760068" w:rsidRPr="00B92BC6" w:rsidRDefault="00760068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B92BC6">
              <w:rPr>
                <w:rFonts w:ascii="Arial" w:hAnsi="Arial" w:cs="Arial"/>
                <w:bCs w:val="0"/>
              </w:rPr>
              <w:t xml:space="preserve">Certification / Degree </w:t>
            </w:r>
          </w:p>
        </w:tc>
        <w:tc>
          <w:tcPr>
            <w:tcW w:w="2626" w:type="dxa"/>
          </w:tcPr>
          <w:p w:rsidR="00760068" w:rsidRPr="00B92BC6" w:rsidRDefault="00760068" w:rsidP="00760068">
            <w:pPr>
              <w:spacing w:before="20" w:after="20"/>
              <w:rPr>
                <w:rFonts w:ascii="Arial" w:hAnsi="Arial" w:cs="Arial"/>
              </w:rPr>
            </w:pPr>
            <w:r w:rsidRPr="00B92BC6">
              <w:rPr>
                <w:rFonts w:ascii="Arial" w:hAnsi="Arial" w:cs="Arial"/>
                <w:bCs w:val="0"/>
              </w:rPr>
              <w:t>Institution / University</w:t>
            </w:r>
          </w:p>
        </w:tc>
        <w:tc>
          <w:tcPr>
            <w:tcW w:w="2466" w:type="dxa"/>
          </w:tcPr>
          <w:p w:rsidR="00760068" w:rsidRPr="00B92BC6" w:rsidRDefault="00760068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B92BC6">
              <w:rPr>
                <w:rFonts w:ascii="Arial" w:hAnsi="Arial" w:cs="Arial"/>
                <w:bCs w:val="0"/>
              </w:rPr>
              <w:t xml:space="preserve">Specialization  </w:t>
            </w:r>
          </w:p>
        </w:tc>
        <w:tc>
          <w:tcPr>
            <w:tcW w:w="1516" w:type="dxa"/>
          </w:tcPr>
          <w:p w:rsidR="00B92BC6" w:rsidRDefault="00B92BC6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Certification</w:t>
            </w:r>
          </w:p>
          <w:p w:rsidR="00760068" w:rsidRPr="00B92BC6" w:rsidRDefault="00760068" w:rsidP="0089210A">
            <w:pPr>
              <w:spacing w:before="20" w:after="20"/>
              <w:rPr>
                <w:rFonts w:ascii="Arial" w:hAnsi="Arial" w:cs="Arial"/>
                <w:bCs w:val="0"/>
              </w:rPr>
            </w:pPr>
            <w:r w:rsidRPr="00B92BC6">
              <w:rPr>
                <w:rFonts w:ascii="Arial" w:hAnsi="Arial" w:cs="Arial"/>
                <w:bCs w:val="0"/>
              </w:rPr>
              <w:t>Year</w:t>
            </w:r>
          </w:p>
        </w:tc>
      </w:tr>
      <w:tr w:rsidR="00A95335" w:rsidRPr="008C2F87" w:rsidTr="00A95335">
        <w:tc>
          <w:tcPr>
            <w:tcW w:w="2705" w:type="dxa"/>
          </w:tcPr>
          <w:p w:rsidR="00A95335" w:rsidRPr="008C2F87" w:rsidRDefault="00A95335" w:rsidP="0089210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6" w:type="dxa"/>
          </w:tcPr>
          <w:p w:rsidR="00A95335" w:rsidRPr="008C2F87" w:rsidRDefault="00A95335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dxa"/>
          </w:tcPr>
          <w:p w:rsidR="00A95335" w:rsidRPr="008C2F87" w:rsidRDefault="00A95335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A95335" w:rsidRPr="008C2F87" w:rsidRDefault="00A95335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068" w:rsidRPr="008C2F87" w:rsidTr="00A95335">
        <w:tc>
          <w:tcPr>
            <w:tcW w:w="2705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b/>
                <w:sz w:val="20"/>
              </w:rPr>
              <w:t>ACMA</w:t>
            </w:r>
            <w:r w:rsidRPr="008C2F87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262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ICMA Pakistan</w:t>
            </w:r>
          </w:p>
        </w:tc>
        <w:tc>
          <w:tcPr>
            <w:tcW w:w="246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 xml:space="preserve">Management Accounting, </w:t>
            </w:r>
          </w:p>
        </w:tc>
        <w:tc>
          <w:tcPr>
            <w:tcW w:w="1516" w:type="dxa"/>
          </w:tcPr>
          <w:p w:rsidR="00760068" w:rsidRPr="008C2F87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2013</w:t>
            </w:r>
          </w:p>
        </w:tc>
      </w:tr>
      <w:tr w:rsidR="00760068" w:rsidRPr="008C2F87" w:rsidTr="00A95335">
        <w:tc>
          <w:tcPr>
            <w:tcW w:w="2705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b/>
                <w:sz w:val="20"/>
              </w:rPr>
              <w:t>APFA</w:t>
            </w:r>
          </w:p>
        </w:tc>
        <w:tc>
          <w:tcPr>
            <w:tcW w:w="262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Pakistan institute of Public Finance Accountants.</w:t>
            </w:r>
          </w:p>
        </w:tc>
        <w:tc>
          <w:tcPr>
            <w:tcW w:w="246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Financial Accounting &amp; Reporting</w:t>
            </w:r>
          </w:p>
        </w:tc>
        <w:tc>
          <w:tcPr>
            <w:tcW w:w="1516" w:type="dxa"/>
          </w:tcPr>
          <w:p w:rsidR="00760068" w:rsidRPr="008C2F87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2012</w:t>
            </w:r>
          </w:p>
        </w:tc>
      </w:tr>
      <w:tr w:rsidR="00760068" w:rsidRPr="008C2F87" w:rsidTr="00A95335">
        <w:tc>
          <w:tcPr>
            <w:tcW w:w="2705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516" w:type="dxa"/>
          </w:tcPr>
          <w:p w:rsidR="00760068" w:rsidRPr="008C2F87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2BC6" w:rsidRPr="008C2F87" w:rsidTr="00A95335">
        <w:tc>
          <w:tcPr>
            <w:tcW w:w="2705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ACCA (9 papers out of 14)</w:t>
            </w:r>
          </w:p>
        </w:tc>
        <w:tc>
          <w:tcPr>
            <w:tcW w:w="2626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ACCA</w:t>
            </w:r>
          </w:p>
        </w:tc>
        <w:tc>
          <w:tcPr>
            <w:tcW w:w="2466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Financial reporting, Audit &amp; assurance</w:t>
            </w:r>
          </w:p>
        </w:tc>
        <w:tc>
          <w:tcPr>
            <w:tcW w:w="1516" w:type="dxa"/>
          </w:tcPr>
          <w:p w:rsidR="00B92BC6" w:rsidRPr="008C2F87" w:rsidRDefault="00B92BC6" w:rsidP="004E18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2015</w:t>
            </w:r>
          </w:p>
        </w:tc>
      </w:tr>
      <w:tr w:rsidR="00B92BC6" w:rsidRPr="008C2F87" w:rsidTr="00A95335">
        <w:tc>
          <w:tcPr>
            <w:tcW w:w="2705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8C2F87">
              <w:rPr>
                <w:rFonts w:ascii="Arial" w:hAnsi="Arial" w:cs="Arial"/>
                <w:b/>
                <w:sz w:val="20"/>
              </w:rPr>
              <w:t>CA Intermediate</w:t>
            </w:r>
          </w:p>
        </w:tc>
        <w:tc>
          <w:tcPr>
            <w:tcW w:w="2626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2F87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akistan</w:t>
            </w:r>
          </w:p>
        </w:tc>
        <w:tc>
          <w:tcPr>
            <w:tcW w:w="2466" w:type="dxa"/>
          </w:tcPr>
          <w:p w:rsidR="00B92BC6" w:rsidRPr="008C2F87" w:rsidRDefault="00B92BC6" w:rsidP="004E185F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 xml:space="preserve">Financial reporting, Audit &amp; assurance </w:t>
            </w:r>
          </w:p>
        </w:tc>
        <w:tc>
          <w:tcPr>
            <w:tcW w:w="1516" w:type="dxa"/>
          </w:tcPr>
          <w:p w:rsidR="00B92BC6" w:rsidRPr="008C2F87" w:rsidRDefault="00B92BC6" w:rsidP="004E185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2008</w:t>
            </w:r>
          </w:p>
        </w:tc>
      </w:tr>
      <w:tr w:rsidR="00760068" w:rsidRPr="008C2F87" w:rsidTr="00A95335">
        <w:tc>
          <w:tcPr>
            <w:tcW w:w="2705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8C2F87">
              <w:rPr>
                <w:rFonts w:ascii="Arial" w:hAnsi="Arial" w:cs="Arial"/>
                <w:b/>
                <w:sz w:val="20"/>
              </w:rPr>
              <w:t>MA  Economics</w:t>
            </w:r>
          </w:p>
        </w:tc>
        <w:tc>
          <w:tcPr>
            <w:tcW w:w="262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 xml:space="preserve">University of Karachi </w:t>
            </w:r>
          </w:p>
        </w:tc>
        <w:tc>
          <w:tcPr>
            <w:tcW w:w="246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 xml:space="preserve">Economics </w:t>
            </w:r>
          </w:p>
        </w:tc>
        <w:tc>
          <w:tcPr>
            <w:tcW w:w="1516" w:type="dxa"/>
          </w:tcPr>
          <w:p w:rsidR="00760068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2002</w:t>
            </w:r>
          </w:p>
          <w:p w:rsidR="00760068" w:rsidRPr="008C2F87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068" w:rsidRPr="008C2F87" w:rsidTr="00A95335">
        <w:tc>
          <w:tcPr>
            <w:tcW w:w="2705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8C2F87">
              <w:rPr>
                <w:rFonts w:ascii="Arial" w:hAnsi="Arial" w:cs="Arial"/>
                <w:b/>
                <w:sz w:val="20"/>
              </w:rPr>
              <w:t xml:space="preserve">B.Com </w:t>
            </w:r>
          </w:p>
        </w:tc>
        <w:tc>
          <w:tcPr>
            <w:tcW w:w="262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University of Karachi</w:t>
            </w:r>
          </w:p>
        </w:tc>
        <w:tc>
          <w:tcPr>
            <w:tcW w:w="2466" w:type="dxa"/>
          </w:tcPr>
          <w:p w:rsidR="00760068" w:rsidRPr="008C2F87" w:rsidRDefault="00760068" w:rsidP="0089210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 xml:space="preserve">Commerce </w:t>
            </w:r>
          </w:p>
        </w:tc>
        <w:tc>
          <w:tcPr>
            <w:tcW w:w="1516" w:type="dxa"/>
          </w:tcPr>
          <w:p w:rsidR="00760068" w:rsidRPr="008C2F87" w:rsidRDefault="00760068" w:rsidP="0089210A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8C2F87">
              <w:rPr>
                <w:rFonts w:ascii="Arial" w:hAnsi="Arial" w:cs="Arial"/>
                <w:sz w:val="20"/>
              </w:rPr>
              <w:t>2000</w:t>
            </w:r>
          </w:p>
        </w:tc>
      </w:tr>
    </w:tbl>
    <w:p w:rsidR="00760068" w:rsidRDefault="00760068">
      <w:pPr>
        <w:rPr>
          <w:b/>
          <w:bCs/>
          <w:sz w:val="22"/>
        </w:rPr>
      </w:pPr>
    </w:p>
    <w:p w:rsidR="008044BD" w:rsidRDefault="008044BD" w:rsidP="008044BD">
      <w:pPr>
        <w:rPr>
          <w:rFonts w:ascii="Arial" w:hAnsi="Arial" w:cs="Arial"/>
          <w:sz w:val="20"/>
        </w:rPr>
      </w:pPr>
    </w:p>
    <w:p w:rsidR="008044BD" w:rsidRPr="00B84BE6" w:rsidRDefault="00401B01" w:rsidP="00B84BE6">
      <w:pPr>
        <w:pStyle w:val="Heading1"/>
        <w:rPr>
          <w:sz w:val="28"/>
        </w:rPr>
      </w:pPr>
      <w:r w:rsidRPr="00B84BE6">
        <w:rPr>
          <w:sz w:val="28"/>
        </w:rPr>
        <w:t>Software</w:t>
      </w:r>
      <w:r w:rsidR="008044BD" w:rsidRPr="00B84BE6">
        <w:rPr>
          <w:sz w:val="28"/>
        </w:rPr>
        <w:t xml:space="preserve"> Skills</w:t>
      </w:r>
    </w:p>
    <w:p w:rsidR="00553CB0" w:rsidRDefault="00553CB0" w:rsidP="00553CB0">
      <w:pPr>
        <w:ind w:left="426"/>
        <w:rPr>
          <w:rFonts w:ascii="Arial" w:hAnsi="Arial" w:cs="Arial"/>
          <w:sz w:val="20"/>
        </w:rPr>
      </w:pP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Word Processing (MS Word)</w:t>
      </w: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Soft Presentation (MS Power point)</w:t>
      </w: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Spread Sheet (MS Excel)</w:t>
      </w: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Peachtree accounting software</w:t>
      </w:r>
    </w:p>
    <w:p w:rsidR="008044BD" w:rsidRPr="000A70D6" w:rsidRDefault="00172656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Oracle </w:t>
      </w:r>
      <w:r w:rsidR="008044BD">
        <w:rPr>
          <w:rFonts w:ascii="Arial" w:hAnsi="Arial" w:cs="Arial"/>
          <w:sz w:val="20"/>
        </w:rPr>
        <w:t>Financial</w:t>
      </w:r>
      <w:r>
        <w:rPr>
          <w:rFonts w:ascii="Arial" w:hAnsi="Arial" w:cs="Arial"/>
          <w:sz w:val="20"/>
        </w:rPr>
        <w:t>.</w:t>
      </w:r>
    </w:p>
    <w:p w:rsidR="008044BD" w:rsidRDefault="008044BD" w:rsidP="00135645">
      <w:pPr>
        <w:ind w:left="426"/>
        <w:rPr>
          <w:rFonts w:ascii="Arial" w:hAnsi="Arial" w:cs="Arial"/>
          <w:sz w:val="20"/>
        </w:rPr>
      </w:pPr>
    </w:p>
    <w:p w:rsidR="008044BD" w:rsidRPr="00B84BE6" w:rsidRDefault="008044BD" w:rsidP="00B84BE6">
      <w:pPr>
        <w:pStyle w:val="Heading1"/>
        <w:rPr>
          <w:sz w:val="28"/>
        </w:rPr>
      </w:pPr>
      <w:r w:rsidRPr="00B84BE6">
        <w:rPr>
          <w:sz w:val="28"/>
        </w:rPr>
        <w:t xml:space="preserve">Professional Development </w:t>
      </w:r>
    </w:p>
    <w:p w:rsidR="00553CB0" w:rsidRDefault="00553CB0" w:rsidP="00553CB0">
      <w:pPr>
        <w:ind w:left="426"/>
        <w:rPr>
          <w:rFonts w:ascii="Arial" w:hAnsi="Arial" w:cs="Arial"/>
          <w:sz w:val="20"/>
        </w:rPr>
      </w:pP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on International Standards on Auditing and audit approach and methodologies by Deloitte</w:t>
      </w: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Workshop on Learning IFRS by Deloitte.</w:t>
      </w:r>
    </w:p>
    <w:p w:rsidR="008044BD" w:rsidRDefault="008044BD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Seminar on Islamic funds and investments.</w:t>
      </w:r>
    </w:p>
    <w:p w:rsidR="00B92BC6" w:rsidRDefault="00B92BC6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 Budget seminars by Deloitte/CA Pakistan/ICMA Pakistan. .</w:t>
      </w:r>
    </w:p>
    <w:p w:rsidR="00B92BC6" w:rsidRDefault="00B92BC6" w:rsidP="00135645">
      <w:pPr>
        <w:numPr>
          <w:ilvl w:val="0"/>
          <w:numId w:val="5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Workshop on Managerial concepts and attending Management meetings. </w:t>
      </w:r>
    </w:p>
    <w:p w:rsidR="00401B01" w:rsidRDefault="00401B01" w:rsidP="00401B01">
      <w:pPr>
        <w:rPr>
          <w:rFonts w:ascii="Arial" w:hAnsi="Arial" w:cs="Arial"/>
          <w:sz w:val="20"/>
        </w:rPr>
      </w:pPr>
    </w:p>
    <w:p w:rsidR="00401B01" w:rsidRPr="00A92E54" w:rsidRDefault="00553CB0" w:rsidP="00401B01">
      <w:pPr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 xml:space="preserve">Note: </w:t>
      </w:r>
      <w:r w:rsidR="00401B01" w:rsidRPr="00A92E54">
        <w:rPr>
          <w:rFonts w:ascii="Arial Narrow" w:hAnsi="Arial Narrow" w:cs="Arial"/>
          <w:i/>
          <w:sz w:val="22"/>
        </w:rPr>
        <w:t>References will be furnished upon request</w:t>
      </w:r>
    </w:p>
    <w:p w:rsidR="00401B01" w:rsidRDefault="00401B01" w:rsidP="00401B01">
      <w:pPr>
        <w:rPr>
          <w:rFonts w:ascii="Arial" w:hAnsi="Arial" w:cs="Arial"/>
          <w:sz w:val="20"/>
        </w:rPr>
      </w:pPr>
    </w:p>
    <w:p w:rsidR="008044BD" w:rsidRDefault="008044BD" w:rsidP="008044BD">
      <w:pPr>
        <w:rPr>
          <w:rFonts w:ascii="Arial" w:hAnsi="Arial" w:cs="Arial"/>
          <w:sz w:val="20"/>
        </w:rPr>
      </w:pPr>
    </w:p>
    <w:sectPr w:rsidR="008044BD" w:rsidSect="004461BC">
      <w:pgSz w:w="12240" w:h="15840"/>
      <w:pgMar w:top="90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584"/>
    <w:multiLevelType w:val="hybridMultilevel"/>
    <w:tmpl w:val="5374E85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CA2428F"/>
    <w:multiLevelType w:val="hybridMultilevel"/>
    <w:tmpl w:val="37668EE4"/>
    <w:lvl w:ilvl="0" w:tplc="A014BDB6">
      <w:start w:val="1"/>
      <w:numFmt w:val="bullet"/>
      <w:lvlText w:val="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74590"/>
    <w:multiLevelType w:val="hybridMultilevel"/>
    <w:tmpl w:val="5B4A9F36"/>
    <w:lvl w:ilvl="0" w:tplc="467EA96E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30DE"/>
    <w:multiLevelType w:val="hybridMultilevel"/>
    <w:tmpl w:val="07300D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72F8"/>
    <w:multiLevelType w:val="hybridMultilevel"/>
    <w:tmpl w:val="DA7A3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24335"/>
    <w:multiLevelType w:val="hybridMultilevel"/>
    <w:tmpl w:val="376CAF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C6D"/>
    <w:rsid w:val="00050C6D"/>
    <w:rsid w:val="00135645"/>
    <w:rsid w:val="00172656"/>
    <w:rsid w:val="002067FF"/>
    <w:rsid w:val="00370649"/>
    <w:rsid w:val="003F50C3"/>
    <w:rsid w:val="00401B01"/>
    <w:rsid w:val="004461BC"/>
    <w:rsid w:val="004910E1"/>
    <w:rsid w:val="00553CB0"/>
    <w:rsid w:val="00760068"/>
    <w:rsid w:val="00802AE6"/>
    <w:rsid w:val="008044BD"/>
    <w:rsid w:val="009156D5"/>
    <w:rsid w:val="009316A6"/>
    <w:rsid w:val="00A55472"/>
    <w:rsid w:val="00A73389"/>
    <w:rsid w:val="00A9345B"/>
    <w:rsid w:val="00A95335"/>
    <w:rsid w:val="00B0727E"/>
    <w:rsid w:val="00B84BE6"/>
    <w:rsid w:val="00B92BC6"/>
    <w:rsid w:val="00C2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C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3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0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C6D"/>
    <w:rPr>
      <w:rFonts w:ascii="Arial" w:eastAsia="Times New Roman" w:hAnsi="Arial" w:cs="Arial"/>
      <w:b/>
      <w:bCs/>
      <w:sz w:val="20"/>
      <w:szCs w:val="20"/>
      <w:shd w:val="pct25" w:color="000000" w:fill="FFFFFF"/>
    </w:rPr>
  </w:style>
  <w:style w:type="character" w:styleId="Hyperlink">
    <w:name w:val="Hyperlink"/>
    <w:basedOn w:val="DefaultParagraphFont"/>
    <w:semiHidden/>
    <w:rsid w:val="00050C6D"/>
    <w:rPr>
      <w:color w:val="0000FF"/>
      <w:u w:val="single"/>
    </w:rPr>
  </w:style>
  <w:style w:type="paragraph" w:styleId="Header">
    <w:name w:val="header"/>
    <w:basedOn w:val="Normal"/>
    <w:link w:val="HeaderChar"/>
    <w:rsid w:val="00050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50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50C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068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6006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A953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A9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01B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PlainTable3">
    <w:name w:val="Plain Table 3"/>
    <w:basedOn w:val="TableNormal"/>
    <w:uiPriority w:val="43"/>
    <w:rsid w:val="001356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84B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2914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deloitte.com/deloitte-ecm-cm-dpm-web/images/dcom/new_deloitte_logo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DCD9-E2DD-4F1B-A39F-1AC535F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Farhan Anwaar</dc:creator>
  <cp:lastModifiedBy>602HRDESK</cp:lastModifiedBy>
  <cp:revision>9</cp:revision>
  <dcterms:created xsi:type="dcterms:W3CDTF">2016-03-07T14:34:00Z</dcterms:created>
  <dcterms:modified xsi:type="dcterms:W3CDTF">2017-07-19T11:25:00Z</dcterms:modified>
</cp:coreProperties>
</file>