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A3" w:rsidRDefault="00050DA3" w:rsidP="00E04111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6FC9240F" wp14:editId="127946B1">
                <wp:simplePos x="0" y="0"/>
                <wp:positionH relativeFrom="column">
                  <wp:posOffset>-685800</wp:posOffset>
                </wp:positionH>
                <wp:positionV relativeFrom="paragraph">
                  <wp:posOffset>84454</wp:posOffset>
                </wp:positionV>
                <wp:extent cx="674370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pt,6.65pt" to="47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" o:allowincell="f" strokeweight="4pt">
                <v:stroke linestyle="thinThick"/>
              </v:line>
            </w:pict>
          </mc:Fallback>
        </mc:AlternateContent>
      </w:r>
    </w:p>
    <w:tbl>
      <w:tblPr>
        <w:tblW w:w="110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96"/>
        <w:gridCol w:w="20"/>
        <w:gridCol w:w="6987"/>
        <w:gridCol w:w="2017"/>
      </w:tblGrid>
      <w:tr w:rsidR="00050DA3" w:rsidTr="00050DA3">
        <w:trPr>
          <w:trHeight w:val="750"/>
          <w:jc w:val="center"/>
        </w:trPr>
        <w:tc>
          <w:tcPr>
            <w:tcW w:w="2016" w:type="dxa"/>
            <w:gridSpan w:val="2"/>
            <w:shd w:val="pct15" w:color="auto" w:fill="auto"/>
            <w:vAlign w:val="center"/>
            <w:hideMark/>
          </w:tcPr>
          <w:p w:rsidR="00050DA3" w:rsidRDefault="00050DA3">
            <w:pPr>
              <w:pStyle w:val="NormalWeb"/>
              <w:jc w:val="center"/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 w:val="0"/>
                <w:bCs/>
              </w:rPr>
              <w:t>CAREER OBJECTIVE</w:t>
            </w:r>
          </w:p>
        </w:tc>
        <w:tc>
          <w:tcPr>
            <w:tcW w:w="20" w:type="dxa"/>
            <w:vAlign w:val="center"/>
          </w:tcPr>
          <w:p w:rsidR="00050DA3" w:rsidRDefault="00050DA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  <w:hideMark/>
          </w:tcPr>
          <w:p w:rsidR="00050DA3" w:rsidRDefault="00050DA3">
            <w:pPr>
              <w:spacing w:line="360" w:lineRule="auto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Visionary, Process oriented and Result-minded executive with over 12years hard core experiences accounting.  Currently associated as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Accountant </w:t>
            </w:r>
            <w:r>
              <w:rPr>
                <w:rFonts w:ascii="Tahoma" w:hAnsi="Tahoma" w:cs="Tahoma"/>
                <w:sz w:val="22"/>
                <w:szCs w:val="22"/>
              </w:rPr>
              <w:t>with Sterling Distribution Co,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UAE.</w:t>
            </w:r>
            <w:r>
              <w:rPr>
                <w:rFonts w:ascii="Tahoma" w:hAnsi="Tahoma" w:cs="Tahoma"/>
                <w:sz w:val="22"/>
                <w:szCs w:val="22"/>
              </w:rPr>
              <w:t xml:space="preserve"> Growth and mission-focused; actively involved in the maintenance &amp; finalization of Accounts, Deft in developing MIS reports and liaising with Government bodies for obtaining necessary sanctions. Possess strong Planning &amp; Relationship Management skills with vital contribution in ru</w:t>
            </w:r>
            <w:bookmarkStart w:id="0" w:name="_GoBack"/>
            <w:bookmarkEnd w:id="0"/>
            <w:r>
              <w:rPr>
                <w:rFonts w:ascii="Tahoma" w:hAnsi="Tahoma" w:cs="Tahoma"/>
                <w:sz w:val="22"/>
                <w:szCs w:val="22"/>
              </w:rPr>
              <w:t xml:space="preserve">nning of the company.  A keen planner with skills in monitoring core departmental deliverables for completion within established deadlines. </w:t>
            </w:r>
          </w:p>
        </w:tc>
      </w:tr>
      <w:tr w:rsidR="00050DA3" w:rsidTr="00050DA3">
        <w:trPr>
          <w:trHeight w:hRule="exact" w:val="252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pStyle w:val="NormalWeb"/>
              <w:rPr>
                <w:rStyle w:val="Strong"/>
                <w:rFonts w:ascii="Tahoma" w:hAnsi="Tahoma" w:cs="Tahoma"/>
                <w:b w:val="0"/>
                <w:bCs/>
                <w:sz w:val="30"/>
              </w:rPr>
            </w:pPr>
          </w:p>
          <w:p w:rsidR="00050DA3" w:rsidRDefault="00050DA3">
            <w:pPr>
              <w:pStyle w:val="NormalWeb"/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rPr>
                <w:rFonts w:ascii="Tahoma" w:hAnsi="Tahoma" w:cs="Tahoma"/>
                <w:color w:val="000000"/>
                <w:sz w:val="3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val="80"/>
          <w:jc w:val="center"/>
        </w:trPr>
        <w:tc>
          <w:tcPr>
            <w:tcW w:w="2016" w:type="dxa"/>
            <w:gridSpan w:val="2"/>
            <w:shd w:val="pct15" w:color="auto" w:fill="auto"/>
          </w:tcPr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hd w:val="pct12" w:color="auto" w:fill="auto"/>
              </w:rPr>
              <w:t>EDUCATION</w:t>
            </w: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EMPLOYMENT EXPERIENCE</w:t>
            </w: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pStyle w:val="ListParagraph"/>
              <w:numPr>
                <w:ilvl w:val="0"/>
                <w:numId w:val="1"/>
              </w:numPr>
              <w:ind w:right="-8"/>
              <w:rPr>
                <w:rStyle w:val="Strong"/>
                <w:rFonts w:ascii="Tahoma" w:hAnsi="Tahoma" w:cs="Tahoma"/>
                <w:b w:val="0"/>
                <w:bCs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z w:val="22"/>
                <w:szCs w:val="22"/>
              </w:rPr>
              <w:t>April   2002        : Master of Commerce (Finance).</w:t>
            </w:r>
          </w:p>
          <w:p w:rsidR="00050DA3" w:rsidRDefault="00050DA3">
            <w:pPr>
              <w:pStyle w:val="Heading3"/>
              <w:ind w:left="720"/>
              <w:rPr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Kerala University, Trivandrum</w:t>
            </w:r>
          </w:p>
          <w:p w:rsidR="00050DA3" w:rsidRDefault="00050DA3">
            <w:pPr>
              <w:pStyle w:val="ListParagraph"/>
              <w:tabs>
                <w:tab w:val="left" w:pos="1395"/>
              </w:tabs>
              <w:spacing w:line="180" w:lineRule="exact"/>
              <w:rPr>
                <w:rFonts w:ascii="Tahoma" w:hAnsi="Tahoma" w:cs="Tahoma"/>
              </w:rPr>
            </w:pP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tabs>
                <w:tab w:val="left" w:pos="1395"/>
              </w:tabs>
              <w:spacing w:line="1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March 2000         : Bachelor of Commerce</w:t>
            </w:r>
          </w:p>
          <w:p w:rsidR="00050DA3" w:rsidRDefault="00050DA3">
            <w:pPr>
              <w:pStyle w:val="Heading4"/>
              <w:ind w:left="36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     Kerala University, Trivandrum</w:t>
            </w:r>
          </w:p>
          <w:p w:rsidR="00050DA3" w:rsidRDefault="00050DA3">
            <w:pPr>
              <w:rPr>
                <w:rFonts w:ascii="Tahoma" w:hAnsi="Tahoma" w:cs="Tahoma"/>
              </w:rPr>
            </w:pP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b w:val="0"/>
                <w:bCs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z w:val="22"/>
                <w:szCs w:val="22"/>
              </w:rPr>
              <w:t>OCTOBER 2007 : IELTS (PROFFESSIONAL)</w:t>
            </w:r>
          </w:p>
          <w:p w:rsidR="00050DA3" w:rsidRDefault="00050DA3">
            <w:pPr>
              <w:rPr>
                <w:rStyle w:val="Strong"/>
                <w:rFonts w:ascii="Tahoma" w:hAnsi="Tahoma" w:cs="Tahoma"/>
                <w:b w:val="0"/>
                <w:bCs/>
              </w:rPr>
            </w:pPr>
          </w:p>
          <w:p w:rsidR="00050DA3" w:rsidRDefault="00050DA3">
            <w:pPr>
              <w:numPr>
                <w:ilvl w:val="0"/>
                <w:numId w:val="1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Working Experience in Oracle Based E.R.P Accounting Software (Orion) developed by 3i Info tech, India.</w:t>
            </w:r>
          </w:p>
          <w:p w:rsidR="00050DA3" w:rsidRDefault="00050DA3">
            <w:pPr>
              <w:ind w:left="2340"/>
              <w:rPr>
                <w:rFonts w:ascii="Tahoma" w:hAnsi="Tahoma" w:cs="Tahoma"/>
              </w:rPr>
            </w:pPr>
          </w:p>
          <w:p w:rsidR="00050DA3" w:rsidRDefault="00050DA3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BPCS/COGNOS</w:t>
            </w:r>
          </w:p>
          <w:p w:rsidR="00050DA3" w:rsidRDefault="00050DA3">
            <w:pPr>
              <w:pStyle w:val="ListParagraph"/>
              <w:rPr>
                <w:rFonts w:ascii="Tahoma" w:hAnsi="Tahoma" w:cs="Tahoma"/>
              </w:rPr>
            </w:pPr>
          </w:p>
          <w:p w:rsidR="00050DA3" w:rsidRDefault="00050DA3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Tally</w:t>
            </w:r>
          </w:p>
          <w:p w:rsidR="00050DA3" w:rsidRDefault="00050DA3">
            <w:pPr>
              <w:pStyle w:val="ListParagraph"/>
              <w:rPr>
                <w:rFonts w:ascii="Tahoma" w:hAnsi="Tahoma" w:cs="Tahoma"/>
              </w:rPr>
            </w:pPr>
          </w:p>
          <w:p w:rsidR="00050DA3" w:rsidRDefault="00050DA3">
            <w:pPr>
              <w:rPr>
                <w:rFonts w:ascii="Tahoma" w:hAnsi="Tahoma" w:cs="Tahoma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</w:rPr>
            </w:pPr>
          </w:p>
          <w:p w:rsidR="00050DA3" w:rsidRDefault="00050DA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Sterling Distribution Company </w:t>
            </w:r>
            <w:proofErr w:type="spellStart"/>
            <w:r>
              <w:rPr>
                <w:rFonts w:ascii="Tahoma" w:hAnsi="Tahoma" w:cs="Tahoma"/>
                <w:b/>
                <w:color w:val="000000"/>
              </w:rPr>
              <w:t>LLc</w:t>
            </w:r>
            <w:proofErr w:type="spellEnd"/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Cord Strap Middle East </w:t>
            </w: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</w:rPr>
              <w:t>Lootah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Group of Companies </w:t>
            </w: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</w:rPr>
            </w:pPr>
          </w:p>
          <w:p w:rsidR="00050DA3" w:rsidRDefault="00050DA3">
            <w:p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b/>
                <w:color w:val="000000"/>
                <w:u w:val="single"/>
              </w:rPr>
            </w:pP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Duties &amp; Responsibilities</w:t>
            </w:r>
          </w:p>
          <w:p w:rsidR="00050DA3" w:rsidRDefault="00050DA3">
            <w:pPr>
              <w:pStyle w:val="ListParagraph"/>
              <w:rPr>
                <w:rFonts w:ascii="Tahoma" w:hAnsi="Tahoma" w:cs="Tahoma"/>
                <w:b/>
                <w:color w:val="000000"/>
                <w:u w:val="single"/>
              </w:rPr>
            </w:pP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Finalization of accounts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Liaising with Internal &amp; External auditors for year financial closing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Generating Monthly,Quaterly&amp;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year end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MIS report for the for the higher management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Preparing payroll &amp; pay slip for over 500 employees in WPS system.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Activity and promotion (A&amp;P) expenses management for FMCG co: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Cash Flow Calculation and management of Funds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Preparation of monthly &amp; annual Budgets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Foreign Exchange Calculation and accounting.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Petty Cash Management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Invoicing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Debit Note issuing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Bill Discounting 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Logistics co ordination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Processing of Shipping guarantees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 coordinating with shipping companies for timely delivery of containers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Comparison of Actual with budgets and reporting variances to the higher management.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Intercompany reconciliation with 30 divisions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Reconciliation of bank statement.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Reconciliation of customer outstanding.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Reconciliation of supplier outstanding.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Inventory reconciliation.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Knowledge on online banking payments process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Preparing Telex transfer letter for overseas fund transfer. 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Preparing the monthly Payable report, prioritizing and recommending for payments after reviewing the credit term and approval from the concerned divisions &amp; disbursing the payment as per companies’ rules &amp; regulation.</w:t>
            </w: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tabs>
                <w:tab w:val="left" w:pos="156"/>
                <w:tab w:val="left" w:pos="297"/>
              </w:tabs>
              <w:spacing w:line="340" w:lineRule="exact"/>
              <w:jc w:val="both"/>
              <w:rPr>
                <w:rFonts w:ascii="Tahoma" w:hAnsi="Tahoma" w:cs="Tahoma"/>
                <w:bCs/>
                <w:color w:val="000000"/>
                <w:u w:val="single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Preparing weekly Receivables statement and reviewing the performance of Collection department.</w:t>
            </w: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Preparing age wise analysis for the customer &amp; supplier for higher management.</w:t>
            </w: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tabs>
                <w:tab w:val="left" w:pos="14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Posting &amp; updating of fixed assets register on monthly basis.</w:t>
            </w: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Maintaining track of daily Cash Collection. 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Inventory control &amp; management.</w:t>
            </w:r>
          </w:p>
          <w:p w:rsidR="00050DA3" w:rsidRDefault="00050DA3">
            <w:pPr>
              <w:pStyle w:val="ListParagraph"/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Preparation of LPO according to the price list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Comparison of LPO with Invoices and rectifying price variances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Liaising with banks &amp; other government departments.</w:t>
            </w:r>
          </w:p>
          <w:p w:rsidR="00050DA3" w:rsidRDefault="00050DA3">
            <w:pPr>
              <w:numPr>
                <w:ilvl w:val="0"/>
                <w:numId w:val="1"/>
              </w:numPr>
              <w:tabs>
                <w:tab w:val="left" w:pos="269"/>
                <w:tab w:val="left" w:pos="629"/>
              </w:tabs>
              <w:spacing w:line="340" w:lineRule="exact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 other responsibilities of Administration (PRO &amp; HR), in general and Accounts in particular were handled independently, like follow up for the document completion for the financial process, preparation &amp; up keep of documents &amp; filling.</w:t>
            </w:r>
          </w:p>
          <w:p w:rsidR="00050DA3" w:rsidRDefault="00050DA3">
            <w:pPr>
              <w:tabs>
                <w:tab w:val="left" w:pos="269"/>
                <w:tab w:val="left" w:pos="629"/>
              </w:tabs>
              <w:spacing w:line="340" w:lineRule="exact"/>
              <w:ind w:left="72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hRule="exact" w:val="422"/>
          <w:jc w:val="center"/>
        </w:trPr>
        <w:tc>
          <w:tcPr>
            <w:tcW w:w="2016" w:type="dxa"/>
            <w:gridSpan w:val="2"/>
          </w:tcPr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rPr>
                <w:rStyle w:val="Strong"/>
                <w:rFonts w:ascii="Tahoma" w:hAnsi="Tahoma" w:cs="Tahoma"/>
                <w:b w:val="0"/>
                <w:bCs/>
              </w:rPr>
            </w:pPr>
          </w:p>
        </w:tc>
      </w:tr>
      <w:tr w:rsidR="00050DA3" w:rsidTr="00050DA3">
        <w:trPr>
          <w:trHeight w:val="3830"/>
          <w:jc w:val="center"/>
        </w:trPr>
        <w:tc>
          <w:tcPr>
            <w:tcW w:w="2016" w:type="dxa"/>
            <w:gridSpan w:val="2"/>
            <w:shd w:val="pct15" w:color="auto" w:fill="auto"/>
          </w:tcPr>
          <w:p w:rsidR="00050DA3" w:rsidRDefault="00050DA3">
            <w:pPr>
              <w:pStyle w:val="Heading1"/>
              <w:jc w:val="both"/>
              <w:rPr>
                <w:rStyle w:val="Strong"/>
                <w:rFonts w:ascii="Tahoma" w:hAnsi="Tahoma" w:cs="Tahoma"/>
                <w:bCs w:val="0"/>
                <w:color w:val="000000"/>
                <w:kern w:val="0"/>
              </w:rPr>
            </w:pPr>
          </w:p>
          <w:p w:rsidR="00050DA3" w:rsidRDefault="00050DA3">
            <w:pPr>
              <w:pStyle w:val="Heading1"/>
              <w:jc w:val="both"/>
            </w:pP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ACHIEVEMENTS</w:t>
            </w: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tabs>
                <w:tab w:val="left" w:pos="269"/>
                <w:tab w:val="left" w:pos="629"/>
              </w:tabs>
              <w:spacing w:line="340" w:lineRule="exact"/>
              <w:ind w:left="86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Achievement</w:t>
            </w:r>
          </w:p>
          <w:p w:rsidR="00050DA3" w:rsidRDefault="00050DA3">
            <w:pPr>
              <w:numPr>
                <w:ilvl w:val="0"/>
                <w:numId w:val="3"/>
              </w:numPr>
              <w:tabs>
                <w:tab w:val="left" w:pos="269"/>
                <w:tab w:val="num" w:pos="319"/>
              </w:tabs>
              <w:spacing w:line="340" w:lineRule="exact"/>
              <w:ind w:left="319" w:hanging="18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Member of Process Owners for the implementation of new version of Oracle based Accounting Software named “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</w:rPr>
              <w:t>Orion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” developed by ICICI InfoTech Ltd.</w:t>
            </w:r>
          </w:p>
          <w:p w:rsidR="00050DA3" w:rsidRDefault="00050DA3">
            <w:pPr>
              <w:tabs>
                <w:tab w:val="left" w:pos="269"/>
              </w:tabs>
              <w:spacing w:line="340" w:lineRule="exact"/>
              <w:ind w:left="319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numPr>
                <w:ilvl w:val="0"/>
                <w:numId w:val="4"/>
              </w:numPr>
              <w:tabs>
                <w:tab w:val="left" w:pos="269"/>
                <w:tab w:val="left" w:pos="629"/>
              </w:tabs>
              <w:spacing w:line="340" w:lineRule="exact"/>
              <w:ind w:left="273" w:hanging="187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Selected and sent by the management to establish an accounting system and give training to accountants of its sister concerns in Djibouti - Africa. </w:t>
            </w:r>
          </w:p>
          <w:p w:rsidR="00050DA3" w:rsidRDefault="00050DA3">
            <w:pPr>
              <w:tabs>
                <w:tab w:val="left" w:pos="269"/>
                <w:tab w:val="left" w:pos="629"/>
              </w:tabs>
              <w:spacing w:line="340" w:lineRule="exact"/>
              <w:ind w:left="273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numPr>
                <w:ilvl w:val="0"/>
                <w:numId w:val="3"/>
              </w:numPr>
              <w:tabs>
                <w:tab w:val="left" w:pos="319"/>
              </w:tabs>
              <w:spacing w:line="340" w:lineRule="exact"/>
              <w:ind w:left="319" w:hanging="18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Rewarded by the management for role-played in the team, assigned for the recovery of database, which was lost completely due to virus attack in Main server during 2004.</w:t>
            </w:r>
          </w:p>
          <w:p w:rsidR="00050DA3" w:rsidRDefault="00050DA3">
            <w:pPr>
              <w:tabs>
                <w:tab w:val="left" w:pos="319"/>
              </w:tabs>
              <w:spacing w:line="340" w:lineRule="exact"/>
              <w:ind w:left="319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numPr>
                <w:ilvl w:val="0"/>
                <w:numId w:val="3"/>
              </w:numPr>
              <w:tabs>
                <w:tab w:val="left" w:pos="319"/>
              </w:tabs>
              <w:spacing w:line="340" w:lineRule="exact"/>
              <w:ind w:left="86" w:hanging="18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Facilitated by management as best employee of the year.</w:t>
            </w:r>
          </w:p>
        </w:tc>
      </w:tr>
      <w:tr w:rsidR="00050DA3" w:rsidTr="00050DA3">
        <w:trPr>
          <w:trHeight w:hRule="exact" w:val="80"/>
          <w:jc w:val="center"/>
        </w:trPr>
        <w:tc>
          <w:tcPr>
            <w:tcW w:w="2016" w:type="dxa"/>
            <w:gridSpan w:val="2"/>
          </w:tcPr>
          <w:p w:rsidR="00050DA3" w:rsidRDefault="00050DA3">
            <w:pPr>
              <w:pStyle w:val="Heading1"/>
              <w:jc w:val="both"/>
              <w:rPr>
                <w:rStyle w:val="Strong"/>
                <w:rFonts w:ascii="Tahoma" w:hAnsi="Tahoma" w:cs="Tahoma"/>
                <w:bCs w:val="0"/>
                <w:color w:val="000000"/>
                <w:kern w:val="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  <w:p w:rsidR="00050DA3" w:rsidRDefault="00050DA3">
            <w:pPr>
              <w:rPr>
                <w:rFonts w:ascii="Tahoma" w:hAnsi="Tahoma" w:cs="Tahoma"/>
                <w:color w:val="000000"/>
                <w:u w:val="single"/>
              </w:rPr>
            </w:pPr>
          </w:p>
        </w:tc>
      </w:tr>
      <w:tr w:rsidR="00050DA3" w:rsidTr="00050DA3">
        <w:trPr>
          <w:trHeight w:hRule="exact" w:val="107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pStyle w:val="NormalWeb"/>
              <w:jc w:val="both"/>
              <w:rPr>
                <w:rFonts w:ascii="Tahoma" w:hAnsi="Tahoma" w:cs="Tahoma"/>
              </w:rPr>
            </w:pPr>
          </w:p>
          <w:p w:rsidR="00050DA3" w:rsidRDefault="00050DA3">
            <w:pPr>
              <w:pStyle w:val="Heading1"/>
              <w:jc w:val="both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Cs w:val="0"/>
                <w:color w:val="000000"/>
                <w:kern w:val="0"/>
                <w:sz w:val="22"/>
                <w:szCs w:val="22"/>
              </w:rPr>
              <w:t>PROJECTS</w:t>
            </w: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val="3066"/>
          <w:jc w:val="center"/>
        </w:trPr>
        <w:tc>
          <w:tcPr>
            <w:tcW w:w="2016" w:type="dxa"/>
            <w:gridSpan w:val="2"/>
            <w:shd w:val="pct15" w:color="auto" w:fill="auto"/>
            <w:hideMark/>
          </w:tcPr>
          <w:p w:rsidR="00050DA3" w:rsidRDefault="00050DA3">
            <w:pPr>
              <w:pStyle w:val="Heading2"/>
              <w:jc w:val="left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numPr>
                <w:ilvl w:val="0"/>
                <w:numId w:val="5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Proven ability to communicate with professionals and peers. </w:t>
            </w:r>
          </w:p>
          <w:p w:rsidR="00050DA3" w:rsidRDefault="00050DA3">
            <w:pPr>
              <w:numPr>
                <w:ilvl w:val="0"/>
                <w:numId w:val="6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Cross cultural sensitivity that enables me to work well with people from a variety of cultures. </w:t>
            </w:r>
          </w:p>
          <w:p w:rsidR="00050DA3" w:rsidRDefault="00050DA3">
            <w:pPr>
              <w:numPr>
                <w:ilvl w:val="0"/>
                <w:numId w:val="6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Rational Decision-making.</w:t>
            </w:r>
          </w:p>
          <w:p w:rsidR="00050DA3" w:rsidRDefault="00050DA3">
            <w:pPr>
              <w:numPr>
                <w:ilvl w:val="0"/>
                <w:numId w:val="6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Flexible to any work Schedule.</w:t>
            </w:r>
          </w:p>
          <w:p w:rsidR="00050DA3" w:rsidRDefault="00050DA3">
            <w:pPr>
              <w:numPr>
                <w:ilvl w:val="0"/>
                <w:numId w:val="6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Working Experience in Oracle Based Accounting Software (Orion) developed by 3i Info tech, India.</w:t>
            </w:r>
          </w:p>
          <w:p w:rsidR="00050DA3" w:rsidRDefault="00050DA3">
            <w:pPr>
              <w:numPr>
                <w:ilvl w:val="0"/>
                <w:numId w:val="6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Excellent team Player.</w:t>
            </w:r>
          </w:p>
          <w:p w:rsidR="00050DA3" w:rsidRDefault="00050DA3">
            <w:pPr>
              <w:numPr>
                <w:ilvl w:val="0"/>
                <w:numId w:val="6"/>
              </w:numPr>
              <w:spacing w:before="100" w:after="1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Fast learning abilities.</w:t>
            </w: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hRule="exact" w:val="297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ind w:left="360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val="1164"/>
          <w:jc w:val="center"/>
        </w:trPr>
        <w:tc>
          <w:tcPr>
            <w:tcW w:w="2016" w:type="dxa"/>
            <w:gridSpan w:val="2"/>
            <w:shd w:val="pct15" w:color="auto" w:fill="FFFFFF"/>
            <w:vAlign w:val="center"/>
            <w:hideMark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COMPUTER KNOWLEDGE</w:t>
            </w: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MS Office</w:t>
            </w:r>
          </w:p>
          <w:p w:rsidR="00050DA3" w:rsidRDefault="00050DA3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DCA: Diploma in Computer Application from LBS Center, Trivandrum.</w:t>
            </w:r>
          </w:p>
          <w:p w:rsidR="00050DA3" w:rsidRDefault="00050DA3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Orion (Developed By 3i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Infotech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  <w:p w:rsidR="00050DA3" w:rsidRDefault="00050DA3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Tally</w:t>
            </w: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hRule="exact" w:val="80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val="477"/>
          <w:jc w:val="center"/>
        </w:trPr>
        <w:tc>
          <w:tcPr>
            <w:tcW w:w="2016" w:type="dxa"/>
            <w:gridSpan w:val="2"/>
            <w:shd w:val="pct15" w:color="auto" w:fill="auto"/>
            <w:vAlign w:val="center"/>
            <w:hideMark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t>PERSONAL DATA</w:t>
            </w: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  <w:hideMark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z w:val="22"/>
                <w:szCs w:val="22"/>
              </w:rPr>
              <w:t>Date of Birth: 03</w:t>
            </w:r>
            <w:r>
              <w:rPr>
                <w:rFonts w:ascii="Tahoma" w:hAnsi="Tahoma" w:cs="Tahoma"/>
                <w:sz w:val="22"/>
                <w:szCs w:val="22"/>
              </w:rPr>
              <w:t>/09/1979</w:t>
            </w:r>
          </w:p>
        </w:tc>
      </w:tr>
      <w:tr w:rsidR="00050DA3" w:rsidTr="00050DA3">
        <w:trPr>
          <w:trHeight w:val="327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z w:val="22"/>
                <w:szCs w:val="22"/>
              </w:rPr>
              <w:t xml:space="preserve">Nationality: </w:t>
            </w:r>
            <w:r>
              <w:rPr>
                <w:rFonts w:ascii="Tahoma" w:hAnsi="Tahoma" w:cs="Tahoma"/>
                <w:sz w:val="22"/>
                <w:szCs w:val="22"/>
              </w:rPr>
              <w:t>Indian.</w:t>
            </w: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val="330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z w:val="22"/>
                <w:szCs w:val="22"/>
              </w:rPr>
              <w:t xml:space="preserve">Gender: </w:t>
            </w:r>
            <w:r>
              <w:rPr>
                <w:rFonts w:ascii="Tahoma" w:hAnsi="Tahoma" w:cs="Tahoma"/>
                <w:sz w:val="22"/>
                <w:szCs w:val="22"/>
              </w:rPr>
              <w:t>Male.</w:t>
            </w:r>
          </w:p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050DA3" w:rsidTr="00050DA3">
        <w:trPr>
          <w:trHeight w:val="318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jc w:val="both"/>
              <w:rPr>
                <w:rStyle w:val="Strong"/>
                <w:rFonts w:ascii="Tahoma" w:hAnsi="Tahoma" w:cs="Tahoma"/>
                <w:b w:val="0"/>
                <w:bCs/>
              </w:rPr>
            </w:pPr>
            <w:r>
              <w:rPr>
                <w:rStyle w:val="Strong"/>
                <w:rFonts w:ascii="Tahoma" w:hAnsi="Tahoma" w:cs="Tahoma"/>
                <w:b w:val="0"/>
                <w:bCs/>
                <w:sz w:val="22"/>
                <w:szCs w:val="22"/>
              </w:rPr>
              <w:t>Marital Status: Married</w:t>
            </w:r>
          </w:p>
          <w:p w:rsidR="00050DA3" w:rsidRDefault="00050DA3">
            <w:pPr>
              <w:jc w:val="both"/>
              <w:rPr>
                <w:color w:val="000000"/>
              </w:rPr>
            </w:pPr>
          </w:p>
        </w:tc>
      </w:tr>
      <w:tr w:rsidR="00050DA3" w:rsidTr="00050DA3">
        <w:trPr>
          <w:trHeight w:val="432"/>
          <w:jc w:val="center"/>
        </w:trPr>
        <w:tc>
          <w:tcPr>
            <w:tcW w:w="2016" w:type="dxa"/>
            <w:gridSpan w:val="2"/>
            <w:shd w:val="clear" w:color="auto" w:fill="FFFFFF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2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Holding a valid driving license. CAR &amp; MOTORBIKE (UAE Driving License)</w:t>
            </w:r>
          </w:p>
          <w:p w:rsidR="00050DA3" w:rsidRDefault="00050DA3">
            <w:pPr>
              <w:jc w:val="both"/>
              <w:rPr>
                <w:rFonts w:ascii="Tahoma" w:hAnsi="Tahoma" w:cs="Tahoma"/>
              </w:rPr>
            </w:pPr>
          </w:p>
        </w:tc>
      </w:tr>
      <w:tr w:rsidR="00050DA3" w:rsidTr="00050DA3">
        <w:trPr>
          <w:gridAfter w:val="1"/>
          <w:wAfter w:w="2016" w:type="dxa"/>
          <w:trHeight w:val="80"/>
          <w:jc w:val="center"/>
        </w:trPr>
        <w:tc>
          <w:tcPr>
            <w:tcW w:w="20" w:type="dxa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001" w:type="dxa"/>
            <w:gridSpan w:val="3"/>
            <w:vAlign w:val="center"/>
          </w:tcPr>
          <w:p w:rsidR="00050DA3" w:rsidRDefault="00050DA3">
            <w:pPr>
              <w:jc w:val="both"/>
              <w:rPr>
                <w:rFonts w:ascii="Tahoma" w:hAnsi="Tahoma" w:cs="Tahoma"/>
                <w:bCs/>
                <w:color w:val="000000"/>
              </w:rPr>
            </w:pPr>
          </w:p>
        </w:tc>
      </w:tr>
    </w:tbl>
    <w:p w:rsidR="00050DA3" w:rsidRDefault="00050DA3" w:rsidP="00050DA3">
      <w:pPr>
        <w:jc w:val="both"/>
        <w:rPr>
          <w:sz w:val="22"/>
          <w:szCs w:val="22"/>
        </w:rPr>
      </w:pPr>
    </w:p>
    <w:p w:rsidR="00050DA3" w:rsidRDefault="00050DA3" w:rsidP="00050DA3">
      <w:pPr>
        <w:jc w:val="both"/>
      </w:pPr>
    </w:p>
    <w:p w:rsidR="00050DA3" w:rsidRDefault="00050DA3" w:rsidP="00050DA3">
      <w:pPr>
        <w:jc w:val="both"/>
      </w:pPr>
    </w:p>
    <w:p w:rsidR="00050DA3" w:rsidRDefault="00050DA3" w:rsidP="00050DA3">
      <w:pPr>
        <w:jc w:val="both"/>
      </w:pPr>
    </w:p>
    <w:p w:rsidR="00050DA3" w:rsidRDefault="00050DA3" w:rsidP="00050DA3">
      <w:pPr>
        <w:jc w:val="both"/>
      </w:pPr>
    </w:p>
    <w:p w:rsidR="00050DA3" w:rsidRDefault="00050DA3" w:rsidP="00050DA3"/>
    <w:p w:rsidR="00E81DD4" w:rsidRDefault="00E81DD4"/>
    <w:sectPr w:rsidR="00E81D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D3" w:rsidRDefault="00520CD3" w:rsidP="00E04111">
      <w:r>
        <w:separator/>
      </w:r>
    </w:p>
  </w:endnote>
  <w:endnote w:type="continuationSeparator" w:id="0">
    <w:p w:rsidR="00520CD3" w:rsidRDefault="00520CD3" w:rsidP="00E0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D3" w:rsidRDefault="00520CD3" w:rsidP="00E04111">
      <w:r>
        <w:separator/>
      </w:r>
    </w:p>
  </w:footnote>
  <w:footnote w:type="continuationSeparator" w:id="0">
    <w:p w:rsidR="00520CD3" w:rsidRDefault="00520CD3" w:rsidP="00E0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11" w:rsidRDefault="00E04111">
    <w:pPr>
      <w:pStyle w:val="Header"/>
      <w:rPr>
        <w:rStyle w:val="bdtext"/>
      </w:rPr>
    </w:pPr>
    <w:proofErr w:type="spellStart"/>
    <w:r>
      <w:rPr>
        <w:rStyle w:val="bdtext"/>
      </w:rPr>
      <w:t>Prasanth</w:t>
    </w:r>
    <w:proofErr w:type="spellEnd"/>
  </w:p>
  <w:p w:rsidR="00E04111" w:rsidRDefault="00E04111">
    <w:pPr>
      <w:pStyle w:val="Header"/>
    </w:pPr>
    <w:hyperlink r:id="rId1" w:history="1">
      <w:r w:rsidRPr="00880883">
        <w:rPr>
          <w:rStyle w:val="Hyperlink"/>
        </w:rPr>
        <w:t>Prasanth.313968@2freemail.com</w:t>
      </w:r>
    </w:hyperlink>
    <w:r>
      <w:rPr>
        <w:rStyle w:val="bdtext"/>
      </w:rPr>
      <w:t xml:space="preserve"> </w:t>
    </w:r>
    <w:r w:rsidRPr="00E04111">
      <w:rPr>
        <w:rStyle w:val="bdtex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72"/>
    <w:multiLevelType w:val="multilevel"/>
    <w:tmpl w:val="8544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477B3"/>
    <w:multiLevelType w:val="hybridMultilevel"/>
    <w:tmpl w:val="1FA0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207"/>
    <w:multiLevelType w:val="hybridMultilevel"/>
    <w:tmpl w:val="5D9A5210"/>
    <w:lvl w:ilvl="0" w:tplc="B5E21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22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832E3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C2B66">
      <w:start w:val="1"/>
      <w:numFmt w:val="bullet"/>
      <w:lvlText w:val=""/>
      <w:lvlJc w:val="left"/>
      <w:pPr>
        <w:tabs>
          <w:tab w:val="num" w:pos="2520"/>
        </w:tabs>
        <w:ind w:left="3456" w:hanging="936"/>
      </w:pPr>
      <w:rPr>
        <w:rFonts w:ascii="Symbol" w:hAnsi="Symbol" w:hint="default"/>
      </w:rPr>
    </w:lvl>
    <w:lvl w:ilvl="4" w:tplc="60528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76C6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00C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612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ABCC1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76E17"/>
    <w:multiLevelType w:val="hybridMultilevel"/>
    <w:tmpl w:val="D04C932C"/>
    <w:lvl w:ilvl="0" w:tplc="5E402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8AFB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31EA3F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AA3B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78D1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D4DC99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96297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3A16D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6EF675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D0A82"/>
    <w:multiLevelType w:val="hybridMultilevel"/>
    <w:tmpl w:val="AE383192"/>
    <w:lvl w:ilvl="0" w:tplc="B5E21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1622"/>
    <w:multiLevelType w:val="hybridMultilevel"/>
    <w:tmpl w:val="7528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B0C81"/>
    <w:multiLevelType w:val="hybridMultilevel"/>
    <w:tmpl w:val="C0B442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A3"/>
    <w:rsid w:val="00050DA3"/>
    <w:rsid w:val="00520CD3"/>
    <w:rsid w:val="00E04111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50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50DA3"/>
    <w:pPr>
      <w:keepNext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50DA3"/>
    <w:pPr>
      <w:keepNext/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50DA3"/>
    <w:pPr>
      <w:keepNext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0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050DA3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50DA3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50DA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050DA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50DA3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unhideWhenUsed/>
    <w:rsid w:val="00050DA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050D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111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E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50D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50DA3"/>
    <w:pPr>
      <w:keepNext/>
      <w:jc w:val="center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50DA3"/>
    <w:pPr>
      <w:keepNext/>
      <w:outlineLvl w:val="2"/>
    </w:pPr>
    <w:rPr>
      <w:rFonts w:ascii="Verdana" w:hAnsi="Verdan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50DA3"/>
    <w:pPr>
      <w:keepNext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0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050DA3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50DA3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50DA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uiPriority w:val="99"/>
    <w:unhideWhenUsed/>
    <w:rsid w:val="00050DA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50DA3"/>
    <w:rPr>
      <w:rFonts w:ascii="Times New Roman" w:hAnsi="Times New Roman" w:cs="Times New Roman" w:hint="default"/>
      <w:b/>
      <w:bCs w:val="0"/>
    </w:rPr>
  </w:style>
  <w:style w:type="paragraph" w:styleId="NormalWeb">
    <w:name w:val="Normal (Web)"/>
    <w:basedOn w:val="Normal"/>
    <w:uiPriority w:val="99"/>
    <w:unhideWhenUsed/>
    <w:rsid w:val="00050DA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050DA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111"/>
    <w:rPr>
      <w:rFonts w:ascii="Times New Roman" w:eastAsia="Times New Roman" w:hAnsi="Times New Roman" w:cs="Times New Roman"/>
      <w:sz w:val="24"/>
      <w:szCs w:val="24"/>
    </w:rPr>
  </w:style>
  <w:style w:type="character" w:customStyle="1" w:styleId="bdtext">
    <w:name w:val="bdtext"/>
    <w:basedOn w:val="DefaultParagraphFont"/>
    <w:rsid w:val="00E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santh.31396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2017-08-23T08:58:00Z</dcterms:created>
  <dcterms:modified xsi:type="dcterms:W3CDTF">2017-08-23T08:59:00Z</dcterms:modified>
</cp:coreProperties>
</file>