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F" w:rsidRDefault="008B1E01">
      <w:pPr>
        <w:pStyle w:val="Bodytext20"/>
        <w:framePr w:w="9427" w:h="14421" w:hRule="exact" w:wrap="none" w:vAnchor="page" w:hAnchor="page" w:x="1323" w:y="959"/>
        <w:shd w:val="clear" w:color="auto" w:fill="auto"/>
        <w:spacing w:after="153"/>
        <w:ind w:left="20" w:right="3206"/>
      </w:pPr>
      <w:r>
        <w:t>HATIM</w:t>
      </w:r>
      <w:r>
        <w:t>, CMA, MBA</w:t>
      </w:r>
    </w:p>
    <w:p w:rsidR="00667BEE" w:rsidRDefault="0036318F">
      <w:pPr>
        <w:pStyle w:val="Bodytext20"/>
        <w:framePr w:w="9427" w:h="14421" w:hRule="exact" w:wrap="none" w:vAnchor="page" w:hAnchor="page" w:x="1323" w:y="959"/>
        <w:shd w:val="clear" w:color="auto" w:fill="auto"/>
        <w:spacing w:after="153"/>
        <w:ind w:left="20" w:right="3206"/>
      </w:pPr>
      <w:hyperlink r:id="rId8" w:history="1">
        <w:r w:rsidRPr="0056139D">
          <w:rPr>
            <w:rStyle w:val="Hyperlink"/>
          </w:rPr>
          <w:t>HATIM.319458@2freemail.com</w:t>
        </w:r>
      </w:hyperlink>
      <w:r>
        <w:t xml:space="preserve"> </w:t>
      </w:r>
      <w:r w:rsidR="008B1E01">
        <w:br/>
      </w:r>
      <w:r w:rsidR="008B1E01">
        <w:rPr>
          <w:rStyle w:val="Bodytext212pt"/>
        </w:rPr>
        <w:t>Financial Controller</w:t>
      </w:r>
    </w:p>
    <w:p w:rsidR="00667BEE" w:rsidRDefault="008B1E01">
      <w:pPr>
        <w:pStyle w:val="Heading20"/>
        <w:framePr w:w="9427" w:h="14421" w:hRule="exact" w:wrap="none" w:vAnchor="page" w:hAnchor="page" w:x="1323" w:y="959"/>
        <w:shd w:val="clear" w:color="auto" w:fill="auto"/>
        <w:spacing w:before="0" w:after="93" w:line="220" w:lineRule="exact"/>
        <w:ind w:left="20" w:right="3206"/>
      </w:pPr>
      <w:bookmarkStart w:id="0" w:name="bookmark0"/>
      <w:r>
        <w:t>Career Summary</w:t>
      </w:r>
      <w:bookmarkEnd w:id="0"/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161"/>
        <w:ind w:left="40" w:right="320"/>
      </w:pPr>
      <w:proofErr w:type="gramStart"/>
      <w:r>
        <w:t>A senior level executive with extensive experience of more than twenty years in UAE, in strategic and short term planning and execution.</w:t>
      </w:r>
      <w:proofErr w:type="gramEnd"/>
      <w:r>
        <w:t xml:space="preserve"> Financial management, Managerial accounting, </w:t>
      </w:r>
      <w:proofErr w:type="gramStart"/>
      <w:r>
        <w:t>Corporate</w:t>
      </w:r>
      <w:proofErr w:type="gramEnd"/>
      <w:r>
        <w:t xml:space="preserve"> governance, Marketing</w:t>
      </w:r>
    </w:p>
    <w:p w:rsidR="00667BEE" w:rsidRDefault="008B1E01">
      <w:pPr>
        <w:pStyle w:val="Heading20"/>
        <w:framePr w:w="9427" w:h="14421" w:hRule="exact" w:wrap="none" w:vAnchor="page" w:hAnchor="page" w:x="1323" w:y="959"/>
        <w:shd w:val="clear" w:color="auto" w:fill="auto"/>
        <w:spacing w:before="0" w:after="0" w:line="220" w:lineRule="exact"/>
        <w:ind w:left="20"/>
      </w:pPr>
      <w:bookmarkStart w:id="1" w:name="bookmark1"/>
      <w:r>
        <w:t>Professional Experience</w:t>
      </w:r>
      <w:bookmarkEnd w:id="1"/>
    </w:p>
    <w:p w:rsidR="00667BEE" w:rsidRDefault="008B1E01">
      <w:pPr>
        <w:pStyle w:val="Bodytext20"/>
        <w:framePr w:w="9427" w:h="14421" w:hRule="exact" w:wrap="none" w:vAnchor="page" w:hAnchor="page" w:x="1323" w:y="959"/>
        <w:shd w:val="clear" w:color="auto" w:fill="auto"/>
        <w:spacing w:after="0" w:line="499" w:lineRule="exact"/>
        <w:ind w:left="40" w:right="320"/>
        <w:jc w:val="left"/>
      </w:pPr>
      <w:r>
        <w:t xml:space="preserve">Financial Controller </w:t>
      </w:r>
      <w:proofErr w:type="spellStart"/>
      <w:r>
        <w:t>Atra</w:t>
      </w:r>
      <w:proofErr w:type="spellEnd"/>
      <w:r>
        <w:t xml:space="preserve"> Trading </w:t>
      </w:r>
      <w:proofErr w:type="spellStart"/>
      <w:r>
        <w:t>Co.LLC</w:t>
      </w:r>
      <w:proofErr w:type="spellEnd"/>
    </w:p>
    <w:p w:rsidR="00667BEE" w:rsidRDefault="008B1E01">
      <w:pPr>
        <w:pStyle w:val="Bodytext20"/>
        <w:framePr w:w="9427" w:h="14421" w:hRule="exact" w:wrap="none" w:vAnchor="page" w:hAnchor="page" w:x="1323" w:y="959"/>
        <w:shd w:val="clear" w:color="auto" w:fill="auto"/>
        <w:spacing w:after="0" w:line="499" w:lineRule="exact"/>
        <w:ind w:left="40"/>
        <w:jc w:val="left"/>
      </w:pPr>
      <w:r>
        <w:t>August 2006 - present (11 years 4 months) UAE</w:t>
      </w:r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169"/>
        <w:ind w:left="40" w:right="40"/>
        <w:jc w:val="both"/>
      </w:pPr>
      <w:proofErr w:type="spellStart"/>
      <w:r>
        <w:t>Atra</w:t>
      </w:r>
      <w:proofErr w:type="spellEnd"/>
      <w:r>
        <w:t xml:space="preserve"> Trading LLC Co. operates as a Holding and Head Office for a group of companies, based in Abu Dhabi-UAE. </w:t>
      </w:r>
      <w:proofErr w:type="spellStart"/>
      <w:r>
        <w:t>It's</w:t>
      </w:r>
      <w:proofErr w:type="spellEnd"/>
      <w:r>
        <w:t xml:space="preserve"> subsidiaries companies excels in Contracting, Real Estate, Healthcare services, Education services, Trading, Business services, and other fields of business</w:t>
      </w:r>
    </w:p>
    <w:p w:rsidR="00667BEE" w:rsidRDefault="008B1E01">
      <w:pPr>
        <w:pStyle w:val="Bodytext40"/>
        <w:framePr w:w="9427" w:h="14421" w:hRule="exact" w:wrap="none" w:vAnchor="page" w:hAnchor="page" w:x="1323" w:y="959"/>
        <w:shd w:val="clear" w:color="auto" w:fill="auto"/>
        <w:spacing w:before="0" w:after="95" w:line="210" w:lineRule="exact"/>
        <w:ind w:left="40"/>
      </w:pPr>
      <w:r>
        <w:t>Contribution</w:t>
      </w:r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169"/>
        <w:ind w:left="40" w:right="40"/>
        <w:jc w:val="both"/>
      </w:pPr>
      <w:r>
        <w:t>Conducting with the direct supervision of the CEO who was appointed at the same perio</w:t>
      </w:r>
      <w:r>
        <w:t>d a complete overhauling and restructuring of the Group after a vast in-depth investigations of the financial and operational aspects We began by discontinuing operating at loss units and sister companies then we applied process reengineering for the conti</w:t>
      </w:r>
      <w:r>
        <w:t>nuing businesses, we formulated a five years strategic plan with long and short terms objectives, a zero-based budget started with for the year 2007 including OPEX.CAPEX and STRATEX. The Group portfolio discussed and agreed upon composed of real estate, ed</w:t>
      </w:r>
      <w:r>
        <w:t xml:space="preserve">ucation and health services, general trading, company representation, shares, fixed deposits, etc. </w:t>
      </w:r>
      <w:proofErr w:type="gramStart"/>
      <w:r>
        <w:t>We emphasis on differentiation and focusing.</w:t>
      </w:r>
      <w:proofErr w:type="gramEnd"/>
      <w:r>
        <w:t xml:space="preserve"> We utilized the owner cash reserves with minor debt financing to actualize our objectives. We able to increase t</w:t>
      </w:r>
      <w:r>
        <w:t>he returns throughout the years and now it reached over 20 million per annum.</w:t>
      </w:r>
    </w:p>
    <w:p w:rsidR="00667BEE" w:rsidRDefault="008B1E01">
      <w:pPr>
        <w:pStyle w:val="Bodytext40"/>
        <w:framePr w:w="9427" w:h="14421" w:hRule="exact" w:wrap="none" w:vAnchor="page" w:hAnchor="page" w:x="1323" w:y="959"/>
        <w:shd w:val="clear" w:color="auto" w:fill="auto"/>
        <w:spacing w:before="0" w:after="252" w:line="210" w:lineRule="exact"/>
        <w:ind w:left="40"/>
      </w:pPr>
      <w:r>
        <w:t>Achievements and Duties</w:t>
      </w:r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0" w:line="374" w:lineRule="exact"/>
        <w:ind w:left="40" w:right="40"/>
      </w:pPr>
      <w:r>
        <w:t xml:space="preserve">Fully restructured the finance </w:t>
      </w:r>
      <w:proofErr w:type="gramStart"/>
      <w:r>
        <w:t>team,</w:t>
      </w:r>
      <w:proofErr w:type="gramEnd"/>
      <w:r>
        <w:t xml:space="preserve"> filled the gaps and empowered certain positions Reviewed the system functionality and relocated the work and tasks be</w:t>
      </w:r>
      <w:r>
        <w:t>tween the team and continuously educated the team with managerial and soft skills.</w:t>
      </w:r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0" w:line="365" w:lineRule="exact"/>
        <w:ind w:left="40" w:right="40"/>
      </w:pPr>
      <w:r>
        <w:t xml:space="preserve">Reviewed and updated the policies and </w:t>
      </w:r>
      <w:proofErr w:type="gramStart"/>
      <w:r>
        <w:t>procedures,</w:t>
      </w:r>
      <w:proofErr w:type="gramEnd"/>
      <w:r>
        <w:t xml:space="preserve"> changed the work concept from </w:t>
      </w:r>
      <w:proofErr w:type="spellStart"/>
      <w:r>
        <w:t>no</w:t>
      </w:r>
      <w:r>
        <w:softHyphen/>
        <w:t>communication</w:t>
      </w:r>
      <w:proofErr w:type="spellEnd"/>
      <w:r>
        <w:t xml:space="preserve"> and no-coordination to communication and coordination comes first. Demonstra</w:t>
      </w:r>
      <w:r>
        <w:t>ting the process of the annual business plan, monitoring its execution, tracing variances, advice on discrepancies for future improvements</w:t>
      </w:r>
    </w:p>
    <w:p w:rsidR="00667BEE" w:rsidRDefault="008B1E01">
      <w:pPr>
        <w:pStyle w:val="Bodytext30"/>
        <w:framePr w:w="9427" w:h="14421" w:hRule="exact" w:wrap="none" w:vAnchor="page" w:hAnchor="page" w:x="1323" w:y="959"/>
        <w:shd w:val="clear" w:color="auto" w:fill="auto"/>
        <w:spacing w:before="0" w:after="0"/>
        <w:ind w:left="40" w:right="40"/>
        <w:jc w:val="both"/>
      </w:pPr>
      <w:r>
        <w:t xml:space="preserve">Planning, directing, organizing, and synchronizing the financial functions of the Group by applying </w:t>
      </w:r>
      <w:r>
        <w:t>financial/accounting principles</w:t>
      </w:r>
    </w:p>
    <w:p w:rsidR="00667BEE" w:rsidRDefault="008B1E01">
      <w:pPr>
        <w:rPr>
          <w:sz w:val="2"/>
          <w:szCs w:val="2"/>
        </w:rPr>
        <w:sectPr w:rsidR="00667BE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4.1pt;margin-top:41.15pt;width:72.95pt;height:70.1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ind w:left="420" w:right="40" w:hanging="300"/>
      </w:pPr>
      <w:r>
        <w:lastRenderedPageBreak/>
        <w:t xml:space="preserve">Establishing and conducting comprehensive financial reporting and controlling systems for Group operations and using financial know-how systems and developing related performance KPIs and financial ratios </w:t>
      </w:r>
      <w:r>
        <w:t>for the business and the department.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ind w:left="420" w:right="40" w:hanging="300"/>
      </w:pPr>
      <w:r>
        <w:t>Verifying all transactions for compliance with the Group's financial policies and procedure, managing and controlling the general ledger and trial balance.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ind w:left="420" w:right="40" w:hanging="300"/>
      </w:pPr>
      <w:r>
        <w:t xml:space="preserve">Preparing and documenting the quarterly profit-loss statements </w:t>
      </w:r>
      <w:r>
        <w:t>and monthly management reports and dashboards for the top management.</w:t>
      </w:r>
    </w:p>
    <w:p w:rsidR="00667BEE" w:rsidRDefault="008B1E01">
      <w:pPr>
        <w:pStyle w:val="BodyText1"/>
        <w:framePr w:w="9826" w:h="14938" w:hRule="exact" w:wrap="none" w:vAnchor="page" w:hAnchor="page" w:x="1220" w:y="474"/>
        <w:shd w:val="clear" w:color="auto" w:fill="auto"/>
        <w:spacing w:after="88" w:line="230" w:lineRule="exact"/>
        <w:ind w:left="420" w:hanging="300"/>
      </w:pPr>
      <w:proofErr w:type="gramStart"/>
      <w:r>
        <w:t>o</w:t>
      </w:r>
      <w:proofErr w:type="gramEnd"/>
      <w:r>
        <w:t xml:space="preserve"> Monitoring the cash flow of the Group and ensuring the smooth flow of finances.</w:t>
      </w:r>
    </w:p>
    <w:p w:rsidR="00667BEE" w:rsidRDefault="008B1E01">
      <w:pPr>
        <w:pStyle w:val="BodyText1"/>
        <w:framePr w:w="9826" w:h="14938" w:hRule="exact" w:wrap="none" w:vAnchor="page" w:hAnchor="page" w:x="1220" w:y="474"/>
        <w:shd w:val="clear" w:color="auto" w:fill="auto"/>
        <w:spacing w:line="355" w:lineRule="exact"/>
        <w:ind w:left="420" w:right="40" w:hanging="300"/>
      </w:pPr>
      <w:proofErr w:type="gramStart"/>
      <w:r>
        <w:t>o</w:t>
      </w:r>
      <w:proofErr w:type="gramEnd"/>
      <w:r>
        <w:t xml:space="preserve"> Supervising and guiding the accounts operation and ensuring the timely and accurate maintenance of acc</w:t>
      </w:r>
      <w:r>
        <w:t>ounts.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line="418" w:lineRule="exact"/>
        <w:ind w:left="420" w:hanging="300"/>
      </w:pPr>
      <w:r>
        <w:t>Analyzing financial reports, cash flow, and working capital, to enhance performance.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line="418" w:lineRule="exact"/>
        <w:ind w:left="420" w:hanging="300"/>
      </w:pPr>
      <w:r>
        <w:t>Evaluating the Group fiscal performance and advising on the long term planning</w:t>
      </w:r>
    </w:p>
    <w:p w:rsidR="00667BEE" w:rsidRDefault="008B1E01">
      <w:pPr>
        <w:pStyle w:val="BodyText1"/>
        <w:framePr w:w="9826" w:h="14938" w:hRule="exact" w:wrap="none" w:vAnchor="page" w:hAnchor="page" w:x="1220" w:y="474"/>
        <w:shd w:val="clear" w:color="auto" w:fill="auto"/>
        <w:spacing w:line="418" w:lineRule="exact"/>
        <w:ind w:left="420" w:hanging="300"/>
      </w:pPr>
      <w:proofErr w:type="gramStart"/>
      <w:r>
        <w:t>a</w:t>
      </w:r>
      <w:proofErr w:type="gramEnd"/>
      <w:r>
        <w:t xml:space="preserve"> Coordinating proper and timely fulfillment of various audits.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ind w:left="420" w:right="40" w:hanging="300"/>
      </w:pPr>
      <w:r>
        <w:t xml:space="preserve">Reviewing the </w:t>
      </w:r>
      <w:r>
        <w:t>internal control systems, recommending areas for improvement at the financial and operational levels, and ensuring that the accounting policies and procedures do comply with applicable laws and regulations.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line="350" w:lineRule="exact"/>
        <w:ind w:left="420" w:right="40" w:hanging="300"/>
      </w:pPr>
      <w:r>
        <w:t>Examining and reviewing financial and statistical</w:t>
      </w:r>
      <w:r>
        <w:t xml:space="preserve"> records and files of the company to ensure their validity and compliance with the financial rules and instructions as well as accounting regulations.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after="88" w:line="230" w:lineRule="exact"/>
        <w:ind w:left="420" w:hanging="300"/>
      </w:pPr>
      <w:r>
        <w:t>Examining and analyzing the final accounts of the Group to ensure their compliance.</w:t>
      </w:r>
    </w:p>
    <w:p w:rsidR="00667BEE" w:rsidRDefault="008B1E01">
      <w:pPr>
        <w:pStyle w:val="BodyText1"/>
        <w:framePr w:w="9826" w:h="14938" w:hRule="exact" w:wrap="none" w:vAnchor="page" w:hAnchor="page" w:x="1220" w:y="474"/>
        <w:shd w:val="clear" w:color="auto" w:fill="auto"/>
        <w:spacing w:line="355" w:lineRule="exact"/>
        <w:ind w:left="420" w:right="40" w:hanging="300"/>
      </w:pPr>
      <w:r>
        <w:t xml:space="preserve">« Following on </w:t>
      </w:r>
      <w:r>
        <w:t>investment accounting transactions and closing as per IAS 39 and 32 and as well as IFRS 7, 9 and 13.</w:t>
      </w:r>
    </w:p>
    <w:p w:rsidR="00667BEE" w:rsidRDefault="008B1E01">
      <w:pPr>
        <w:pStyle w:val="Bodytext50"/>
        <w:framePr w:w="9826" w:h="14938" w:hRule="exact" w:wrap="none" w:vAnchor="page" w:hAnchor="page" w:x="1220" w:y="474"/>
        <w:shd w:val="clear" w:color="auto" w:fill="auto"/>
        <w:ind w:left="420"/>
      </w:pPr>
      <w:r>
        <w:t>Financial Manager</w:t>
      </w:r>
    </w:p>
    <w:p w:rsidR="00667BEE" w:rsidRDefault="008B1E01">
      <w:pPr>
        <w:pStyle w:val="Bodytext50"/>
        <w:framePr w:w="9826" w:h="14938" w:hRule="exact" w:wrap="none" w:vAnchor="page" w:hAnchor="page" w:x="1220" w:y="474"/>
        <w:shd w:val="clear" w:color="auto" w:fill="auto"/>
        <w:ind w:left="420"/>
      </w:pPr>
      <w:r>
        <w:t xml:space="preserve">Al </w:t>
      </w:r>
      <w:proofErr w:type="spellStart"/>
      <w:r>
        <w:t>Fandi</w:t>
      </w:r>
      <w:proofErr w:type="spellEnd"/>
      <w:r>
        <w:t xml:space="preserve"> Al </w:t>
      </w:r>
      <w:proofErr w:type="spellStart"/>
      <w:r>
        <w:t>Mazroui</w:t>
      </w:r>
      <w:proofErr w:type="spellEnd"/>
      <w:r>
        <w:t xml:space="preserve"> Int'l Property Travel &amp; Tourism,</w:t>
      </w:r>
    </w:p>
    <w:p w:rsidR="00667BEE" w:rsidRDefault="008B1E01">
      <w:pPr>
        <w:pStyle w:val="Bodytext50"/>
        <w:framePr w:w="9826" w:h="14938" w:hRule="exact" w:wrap="none" w:vAnchor="page" w:hAnchor="page" w:x="1220" w:y="474"/>
        <w:shd w:val="clear" w:color="auto" w:fill="auto"/>
        <w:ind w:left="420" w:right="4380"/>
        <w:jc w:val="left"/>
      </w:pPr>
      <w:r>
        <w:t xml:space="preserve">April 1997 - July 2006 (9 years 4 months), UAE </w:t>
      </w:r>
      <w:r>
        <w:rPr>
          <w:rStyle w:val="Bodytext511pt"/>
          <w:b/>
          <w:bCs/>
        </w:rPr>
        <w:t>Contribution</w:t>
      </w:r>
    </w:p>
    <w:p w:rsidR="00667BEE" w:rsidRDefault="008B1E01">
      <w:pPr>
        <w:pStyle w:val="BodyText1"/>
        <w:framePr w:w="9826" w:h="14938" w:hRule="exact" w:wrap="none" w:vAnchor="page" w:hAnchor="page" w:x="1220" w:y="474"/>
        <w:shd w:val="clear" w:color="auto" w:fill="auto"/>
        <w:spacing w:after="217" w:line="341" w:lineRule="exact"/>
        <w:ind w:left="420" w:right="40" w:firstLine="0"/>
      </w:pPr>
      <w:r>
        <w:t>Drawing under the direct</w:t>
      </w:r>
      <w:r>
        <w:t xml:space="preserve"> supervision of the CEO in cooperation with the sales personnel the marketing strategy of the company, and the yearly business </w:t>
      </w:r>
      <w:proofErr w:type="gramStart"/>
      <w:r>
        <w:t>plan ,</w:t>
      </w:r>
      <w:proofErr w:type="gramEnd"/>
      <w:r>
        <w:t xml:space="preserve"> we defined our marketing niche and determined our corporate partners and major customers we customized a marketing mix to </w:t>
      </w:r>
      <w:r>
        <w:t>establish long term relationship. This reflected in continuous growth in our returns.</w:t>
      </w:r>
    </w:p>
    <w:p w:rsidR="00667BEE" w:rsidRDefault="008B1E01">
      <w:pPr>
        <w:pStyle w:val="Bodytext60"/>
        <w:framePr w:w="9826" w:h="14938" w:hRule="exact" w:wrap="none" w:vAnchor="page" w:hAnchor="page" w:x="1220" w:y="474"/>
        <w:shd w:val="clear" w:color="auto" w:fill="auto"/>
        <w:spacing w:before="0" w:after="101" w:line="220" w:lineRule="exact"/>
        <w:ind w:left="420"/>
      </w:pPr>
      <w:r>
        <w:t>Achievements and duties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line="341" w:lineRule="exact"/>
        <w:ind w:left="420" w:right="520" w:hanging="300"/>
        <w:jc w:val="left"/>
      </w:pPr>
      <w:r>
        <w:t xml:space="preserve">Played a major role in developing, monitoring, and evaluating the Group financial accounting function with emphasis on the bottom line </w:t>
      </w:r>
      <w:r>
        <w:t>performance, delivering enhanced services at reduced costs, and provided useful financial insights to help make better decisions</w:t>
      </w:r>
    </w:p>
    <w:p w:rsidR="00667BEE" w:rsidRDefault="008B1E01">
      <w:pPr>
        <w:pStyle w:val="BodyText1"/>
        <w:framePr w:w="9826" w:h="14938" w:hRule="exact" w:wrap="none" w:vAnchor="page" w:hAnchor="page" w:x="1220" w:y="474"/>
        <w:numPr>
          <w:ilvl w:val="0"/>
          <w:numId w:val="1"/>
        </w:numPr>
        <w:shd w:val="clear" w:color="auto" w:fill="auto"/>
        <w:tabs>
          <w:tab w:val="left" w:pos="425"/>
        </w:tabs>
        <w:spacing w:line="341" w:lineRule="exact"/>
        <w:ind w:left="420" w:right="520"/>
        <w:jc w:val="left"/>
      </w:pPr>
      <w:r>
        <w:t>Defined, developed, and implemented robust financial controls, policies and procedures resulted in cost run-rate reduction of 1</w:t>
      </w:r>
      <w:r>
        <w:t>0%</w:t>
      </w:r>
    </w:p>
    <w:p w:rsidR="00667BEE" w:rsidRDefault="00667BEE">
      <w:pPr>
        <w:rPr>
          <w:sz w:val="2"/>
          <w:szCs w:val="2"/>
        </w:rPr>
        <w:sectPr w:rsidR="00667BE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lastRenderedPageBreak/>
        <w:t>Conducted annual budget preparation, controlling, and reporting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Conducted financial and operational due diligence for different businesses in the region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Conducted five years projections for the Group with other business units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Managed i</w:t>
      </w:r>
      <w:r>
        <w:t>nternal and external audit (big4) requirements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Conducted monthly and quarterly cash budget, management and reconciliation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40" w:right="460" w:hanging="400"/>
        <w:jc w:val="left"/>
      </w:pPr>
      <w:r>
        <w:t>Supervised the yearend and quarterly accounting consolidation, and subsidiaries follow- up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40" w:right="1000" w:hanging="400"/>
        <w:jc w:val="left"/>
      </w:pPr>
      <w:r>
        <w:t>Prepared and reviewed related financial and</w:t>
      </w:r>
      <w:r>
        <w:t xml:space="preserve"> management accounting policies and Procedures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Provided the top management with periodic and ad hoc reports for decision making.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0" w:firstLine="0"/>
      </w:pPr>
      <w:r>
        <w:t>Cooperated with external auditors in performing the year end audits.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ind w:left="40" w:firstLine="0"/>
      </w:pPr>
      <w:r>
        <w:t>® Served as audit committee member for certain subsidiarie</w:t>
      </w:r>
      <w:r>
        <w:t>s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ind w:left="440" w:firstLine="0"/>
        <w:jc w:val="left"/>
      </w:pPr>
      <w:proofErr w:type="gramStart"/>
      <w:r>
        <w:t>analysis</w:t>
      </w:r>
      <w:proofErr w:type="gramEnd"/>
      <w:r>
        <w:t>.</w:t>
      </w:r>
    </w:p>
    <w:p w:rsidR="00667BEE" w:rsidRDefault="008B1E01">
      <w:pPr>
        <w:pStyle w:val="Bodytext50"/>
        <w:framePr w:w="9773" w:h="14919" w:hRule="exact" w:wrap="none" w:vAnchor="page" w:hAnchor="page" w:x="1246" w:y="474"/>
        <w:shd w:val="clear" w:color="auto" w:fill="auto"/>
        <w:spacing w:line="499" w:lineRule="exact"/>
        <w:ind w:left="440" w:right="6300"/>
        <w:jc w:val="left"/>
      </w:pPr>
      <w:r>
        <w:t xml:space="preserve">General Accountant Abu Dhabi </w:t>
      </w:r>
      <w:proofErr w:type="spellStart"/>
      <w:r>
        <w:t>Tyres</w:t>
      </w:r>
      <w:proofErr w:type="spellEnd"/>
      <w:r>
        <w:t xml:space="preserve"> Company,</w:t>
      </w:r>
    </w:p>
    <w:p w:rsidR="00667BEE" w:rsidRDefault="008B1E01">
      <w:pPr>
        <w:pStyle w:val="Bodytext50"/>
        <w:framePr w:w="9773" w:h="14919" w:hRule="exact" w:wrap="none" w:vAnchor="page" w:hAnchor="page" w:x="1246" w:y="474"/>
        <w:shd w:val="clear" w:color="auto" w:fill="auto"/>
        <w:spacing w:line="499" w:lineRule="exact"/>
        <w:ind w:left="440" w:right="4720"/>
        <w:jc w:val="left"/>
      </w:pPr>
      <w:r>
        <w:t xml:space="preserve">June 1996 - March 1997 (10 months), UAE </w:t>
      </w:r>
      <w:r>
        <w:rPr>
          <w:rStyle w:val="Bodytext511pt"/>
          <w:b/>
          <w:bCs/>
        </w:rPr>
        <w:t>Contribution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spacing w:after="221"/>
        <w:ind w:left="440" w:right="280" w:firstLine="0"/>
        <w:jc w:val="left"/>
      </w:pPr>
      <w:r>
        <w:t xml:space="preserve">Conducted with the direct supervision of the CFO a market survey on </w:t>
      </w:r>
      <w:proofErr w:type="spellStart"/>
      <w:r>
        <w:t>tyres</w:t>
      </w:r>
      <w:proofErr w:type="spellEnd"/>
      <w:r>
        <w:t xml:space="preserve"> industry based on that a marketing plan was formulated to improve the </w:t>
      </w:r>
      <w:r>
        <w:t>sales of our two brands Firestone and Sumitomo and adopting a 4ps marketing mix approach that led to increase the revenues by 20% that year.</w:t>
      </w:r>
    </w:p>
    <w:p w:rsidR="00667BEE" w:rsidRDefault="008B1E01">
      <w:pPr>
        <w:pStyle w:val="Bodytext60"/>
        <w:framePr w:w="9773" w:h="14919" w:hRule="exact" w:wrap="none" w:vAnchor="page" w:hAnchor="page" w:x="1246" w:y="474"/>
        <w:shd w:val="clear" w:color="auto" w:fill="auto"/>
        <w:spacing w:before="0" w:after="158" w:line="220" w:lineRule="exact"/>
        <w:ind w:left="440"/>
        <w:jc w:val="left"/>
      </w:pPr>
      <w:r>
        <w:t>Achievements and duties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ind w:left="440" w:right="1340" w:hanging="400"/>
        <w:jc w:val="left"/>
      </w:pPr>
      <w:r>
        <w:t>Handled all accounting including AP,AR, fixed assets, credit, GL, payroll, loans; responsib</w:t>
      </w:r>
      <w:r>
        <w:t>le for cash flow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tabs>
          <w:tab w:val="left" w:pos="403"/>
        </w:tabs>
        <w:ind w:left="40" w:firstLine="0"/>
      </w:pPr>
      <w:r>
        <w:t>®</w:t>
      </w:r>
      <w:r>
        <w:tab/>
        <w:t>Prepared banking reconciliation of portfolios and investment funds,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tabs>
          <w:tab w:val="left" w:pos="403"/>
        </w:tabs>
        <w:ind w:left="40" w:firstLine="0"/>
      </w:pPr>
      <w:proofErr w:type="gramStart"/>
      <w:r>
        <w:t>o</w:t>
      </w:r>
      <w:proofErr w:type="gramEnd"/>
      <w:r>
        <w:tab/>
        <w:t>Participated in the preparation of the annual budget and forecasts.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spacing w:after="1"/>
        <w:ind w:left="40" w:firstLine="0"/>
      </w:pPr>
      <w:r>
        <w:t>Prepared monthly closing entries and yearly financial reports.</w:t>
      </w:r>
    </w:p>
    <w:p w:rsidR="00667BEE" w:rsidRDefault="008B1E01">
      <w:pPr>
        <w:pStyle w:val="Bodytext50"/>
        <w:framePr w:w="9773" w:h="14919" w:hRule="exact" w:wrap="none" w:vAnchor="page" w:hAnchor="page" w:x="1246" w:y="474"/>
        <w:shd w:val="clear" w:color="auto" w:fill="auto"/>
        <w:ind w:left="440" w:right="280"/>
        <w:jc w:val="left"/>
      </w:pPr>
      <w:r>
        <w:t xml:space="preserve">Finance Inspector Farmer's </w:t>
      </w:r>
      <w:r>
        <w:t>Commercial Bank,</w:t>
      </w:r>
    </w:p>
    <w:p w:rsidR="00667BEE" w:rsidRDefault="008B1E01">
      <w:pPr>
        <w:pStyle w:val="Bodytext50"/>
        <w:framePr w:w="9773" w:h="14919" w:hRule="exact" w:wrap="none" w:vAnchor="page" w:hAnchor="page" w:x="1246" w:y="474"/>
        <w:shd w:val="clear" w:color="auto" w:fill="auto"/>
        <w:ind w:left="440" w:right="280"/>
        <w:jc w:val="left"/>
      </w:pPr>
      <w:r>
        <w:t xml:space="preserve">January 1993- December 1993 (12 months), Sudan </w:t>
      </w:r>
      <w:r>
        <w:rPr>
          <w:rStyle w:val="Bodytext511pt"/>
          <w:b/>
          <w:bCs/>
        </w:rPr>
        <w:t>Selected Contributions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spacing w:line="494" w:lineRule="exact"/>
        <w:ind w:left="40" w:firstLine="0"/>
      </w:pPr>
      <w:r>
        <w:t>Developed and oversaw the investment strategy and its implementation.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  <w:tab w:val="right" w:pos="8819"/>
        </w:tabs>
        <w:spacing w:line="341" w:lineRule="exact"/>
        <w:ind w:left="40" w:firstLine="0"/>
      </w:pPr>
      <w:r>
        <w:t>Managed the funds to maximize investment returns given predetermined</w:t>
      </w:r>
      <w:r>
        <w:tab/>
        <w:t>risk</w:t>
      </w:r>
    </w:p>
    <w:p w:rsidR="00667BEE" w:rsidRDefault="008B1E01">
      <w:pPr>
        <w:pStyle w:val="BodyText1"/>
        <w:framePr w:w="9773" w:h="14919" w:hRule="exact" w:wrap="none" w:vAnchor="page" w:hAnchor="page" w:x="1246" w:y="474"/>
        <w:shd w:val="clear" w:color="auto" w:fill="auto"/>
        <w:spacing w:line="341" w:lineRule="exact"/>
        <w:ind w:left="440" w:firstLine="0"/>
        <w:jc w:val="left"/>
      </w:pPr>
      <w:proofErr w:type="gramStart"/>
      <w:r>
        <w:t>levels</w:t>
      </w:r>
      <w:proofErr w:type="gramEnd"/>
      <w:r>
        <w:t>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spacing w:line="341" w:lineRule="exact"/>
        <w:ind w:left="40" w:firstLine="0"/>
      </w:pPr>
      <w:r>
        <w:t xml:space="preserve">Performed </w:t>
      </w:r>
      <w:r>
        <w:t>industry analysis and financial analysis of investments.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spacing w:line="341" w:lineRule="exact"/>
        <w:ind w:left="40" w:firstLine="0"/>
      </w:pPr>
      <w:r>
        <w:t>Investment Department staff supervision.</w:t>
      </w:r>
    </w:p>
    <w:p w:rsidR="00667BEE" w:rsidRDefault="008B1E01">
      <w:pPr>
        <w:pStyle w:val="BodyText1"/>
        <w:framePr w:w="9773" w:h="14919" w:hRule="exact" w:wrap="none" w:vAnchor="page" w:hAnchor="page" w:x="1246" w:y="474"/>
        <w:numPr>
          <w:ilvl w:val="0"/>
          <w:numId w:val="1"/>
        </w:numPr>
        <w:shd w:val="clear" w:color="auto" w:fill="auto"/>
        <w:tabs>
          <w:tab w:val="left" w:pos="403"/>
        </w:tabs>
        <w:spacing w:line="341" w:lineRule="exact"/>
        <w:ind w:left="440" w:right="1000" w:hanging="400"/>
        <w:jc w:val="left"/>
      </w:pPr>
      <w:r>
        <w:t>Negotiated contracts and terms, price, structure of potential investments, prepared letters of intent, maintained contract with sellers and, risk management t</w:t>
      </w:r>
      <w:r>
        <w:t>hroughout</w:t>
      </w:r>
    </w:p>
    <w:p w:rsidR="00667BEE" w:rsidRDefault="00667BEE">
      <w:pPr>
        <w:rPr>
          <w:sz w:val="2"/>
          <w:szCs w:val="2"/>
        </w:rPr>
        <w:sectPr w:rsidR="00667BE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ind w:left="420" w:firstLine="0"/>
        <w:jc w:val="left"/>
      </w:pPr>
      <w:proofErr w:type="gramStart"/>
      <w:r>
        <w:lastRenderedPageBreak/>
        <w:t>each</w:t>
      </w:r>
      <w:proofErr w:type="gramEnd"/>
      <w:r>
        <w:t xml:space="preserve"> transaction.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ind w:left="420" w:right="600" w:hanging="380"/>
        <w:jc w:val="left"/>
      </w:pPr>
      <w:proofErr w:type="gramStart"/>
      <w:r>
        <w:t>estimated</w:t>
      </w:r>
      <w:proofErr w:type="gramEnd"/>
      <w:r>
        <w:t xml:space="preserve"> credit-worthiness, calculated repayment risk and undertook full revision of the provided feasibility study and projected cash flow.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spacing w:after="57"/>
        <w:ind w:left="420" w:right="600" w:hanging="380"/>
        <w:jc w:val="left"/>
      </w:pPr>
      <w:r>
        <w:t xml:space="preserve">Completed loans by monitoring collection, verification and </w:t>
      </w:r>
      <w:r>
        <w:t>preparation of loan documentation, scheduling and completing loan closing.</w:t>
      </w: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spacing w:line="499" w:lineRule="exact"/>
        <w:ind w:left="420" w:firstLine="0"/>
        <w:jc w:val="left"/>
      </w:pPr>
      <w:r>
        <w:t>Senior Livestock Marketing Officer</w:t>
      </w: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spacing w:line="499" w:lineRule="exact"/>
        <w:ind w:left="420" w:firstLine="0"/>
        <w:jc w:val="left"/>
      </w:pPr>
      <w:r>
        <w:t>The Livestock and Meat Marketing Corporation, LMMC,</w:t>
      </w: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spacing w:line="499" w:lineRule="exact"/>
        <w:ind w:left="420" w:firstLine="0"/>
        <w:jc w:val="left"/>
      </w:pPr>
      <w:r>
        <w:t>November 1984 -1992 (08 years) Sudan</w:t>
      </w:r>
    </w:p>
    <w:p w:rsidR="00667BEE" w:rsidRDefault="008B1E01">
      <w:pPr>
        <w:pStyle w:val="Bodytext60"/>
        <w:framePr w:w="9802" w:h="12379" w:hRule="exact" w:wrap="none" w:vAnchor="page" w:hAnchor="page" w:x="1232" w:y="474"/>
        <w:shd w:val="clear" w:color="auto" w:fill="auto"/>
        <w:spacing w:before="0" w:after="0" w:line="499" w:lineRule="exact"/>
        <w:ind w:left="420"/>
        <w:jc w:val="left"/>
      </w:pPr>
      <w:r>
        <w:t>Selected Contributions</w:t>
      </w: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ind w:left="420" w:right="600" w:hanging="380"/>
        <w:jc w:val="left"/>
      </w:pPr>
      <w:proofErr w:type="gramStart"/>
      <w:r>
        <w:t>o</w:t>
      </w:r>
      <w:proofErr w:type="gramEnd"/>
      <w:r>
        <w:t xml:space="preserve"> Improve pastoralists’ access to </w:t>
      </w:r>
      <w:r>
        <w:t>livestock and meat markets through the expansion of traditional markets for lives animal sales (including exports).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ind w:left="420" w:right="600" w:hanging="380"/>
        <w:jc w:val="left"/>
      </w:pPr>
      <w:r>
        <w:t xml:space="preserve">Enabling the existing livestock groups to access marketing &amp; management services on an individual and collective basis in order for them to </w:t>
      </w:r>
      <w:r>
        <w:t>increase their income &amp; be able to sustainably finance services provision via the facilitation of LMMC in the long term.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ind w:left="420" w:right="600" w:hanging="380"/>
        <w:jc w:val="left"/>
      </w:pPr>
      <w:r>
        <w:t xml:space="preserve">Undertake training needs assessment in the area of marketing, quality control, contract handling, collective marketing, </w:t>
      </w:r>
      <w:proofErr w:type="gramStart"/>
      <w:r>
        <w:t>organizational</w:t>
      </w:r>
      <w:proofErr w:type="gramEnd"/>
      <w:r>
        <w:t xml:space="preserve"> </w:t>
      </w:r>
      <w:r>
        <w:t>development, day to day and financial management of livestock groups.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spacing w:after="211"/>
        <w:ind w:left="420" w:right="600" w:hanging="380"/>
        <w:jc w:val="left"/>
      </w:pPr>
      <w:r>
        <w:t>Undertake participatory market research with livestock groups on buyers &amp; supply livestock and by products, amongst</w:t>
      </w:r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spacing w:after="218" w:line="307" w:lineRule="exact"/>
        <w:ind w:left="420" w:right="3120" w:firstLine="0"/>
        <w:jc w:val="right"/>
      </w:pPr>
      <w:r>
        <w:rPr>
          <w:rStyle w:val="BodytextMicrosoftSansSerif"/>
        </w:rPr>
        <w:t xml:space="preserve">Professional Certificate </w:t>
      </w:r>
      <w:r>
        <w:t>Certified Management Accountant, CMA (USA) Ja</w:t>
      </w:r>
      <w:r>
        <w:t>nuary 2017</w:t>
      </w:r>
    </w:p>
    <w:p w:rsidR="00667BEE" w:rsidRDefault="008B1E01">
      <w:pPr>
        <w:pStyle w:val="Heading10"/>
        <w:framePr w:w="9802" w:h="12379" w:hRule="exact" w:wrap="none" w:vAnchor="page" w:hAnchor="page" w:x="1232" w:y="474"/>
        <w:shd w:val="clear" w:color="auto" w:fill="auto"/>
        <w:spacing w:before="0" w:after="366" w:line="260" w:lineRule="exact"/>
        <w:ind w:left="4000"/>
      </w:pPr>
      <w:bookmarkStart w:id="2" w:name="bookmark2"/>
      <w:r>
        <w:t>Education &amp; Qualifications</w:t>
      </w:r>
      <w:bookmarkEnd w:id="2"/>
    </w:p>
    <w:p w:rsidR="00667BEE" w:rsidRDefault="008B1E01">
      <w:pPr>
        <w:pStyle w:val="BodyText1"/>
        <w:framePr w:w="9802" w:h="12379" w:hRule="exact" w:wrap="none" w:vAnchor="page" w:hAnchor="page" w:x="1232" w:y="474"/>
        <w:shd w:val="clear" w:color="auto" w:fill="auto"/>
        <w:spacing w:after="137" w:line="230" w:lineRule="exact"/>
        <w:ind w:left="420" w:hanging="380"/>
        <w:jc w:val="left"/>
      </w:pPr>
      <w:r>
        <w:t>« University of Khartoum, 1993 Master in Business Administration, Major in Marketing</w:t>
      </w:r>
    </w:p>
    <w:p w:rsidR="00667BEE" w:rsidRDefault="008B1E01">
      <w:pPr>
        <w:pStyle w:val="BodyText1"/>
        <w:framePr w:w="9802" w:h="12379" w:hRule="exact" w:wrap="none" w:vAnchor="page" w:hAnchor="page" w:x="1232" w:y="474"/>
        <w:numPr>
          <w:ilvl w:val="0"/>
          <w:numId w:val="1"/>
        </w:numPr>
        <w:shd w:val="clear" w:color="auto" w:fill="auto"/>
        <w:tabs>
          <w:tab w:val="left" w:pos="388"/>
        </w:tabs>
        <w:spacing w:after="132" w:line="230" w:lineRule="exact"/>
        <w:ind w:left="40" w:firstLine="0"/>
      </w:pPr>
      <w:r>
        <w:t>University of Khartoum, 1984 Bachelor’s (</w:t>
      </w:r>
      <w:proofErr w:type="spellStart"/>
      <w:r>
        <w:t>Honours</w:t>
      </w:r>
      <w:proofErr w:type="spellEnd"/>
      <w:r>
        <w:t>) in Business Administration</w:t>
      </w:r>
    </w:p>
    <w:p w:rsidR="00667BEE" w:rsidRDefault="00667BEE">
      <w:pPr>
        <w:rPr>
          <w:sz w:val="2"/>
          <w:szCs w:val="2"/>
        </w:rPr>
      </w:pPr>
      <w:bookmarkStart w:id="3" w:name="_GoBack"/>
      <w:bookmarkEnd w:id="3"/>
    </w:p>
    <w:sectPr w:rsidR="00667BE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01" w:rsidRDefault="008B1E01">
      <w:r>
        <w:separator/>
      </w:r>
    </w:p>
  </w:endnote>
  <w:endnote w:type="continuationSeparator" w:id="0">
    <w:p w:rsidR="008B1E01" w:rsidRDefault="008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01" w:rsidRDefault="008B1E01"/>
  </w:footnote>
  <w:footnote w:type="continuationSeparator" w:id="0">
    <w:p w:rsidR="008B1E01" w:rsidRDefault="008B1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56"/>
    <w:multiLevelType w:val="multilevel"/>
    <w:tmpl w:val="5532CD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7BEE"/>
    <w:rsid w:val="0036318F"/>
    <w:rsid w:val="00667BEE"/>
    <w:rsid w:val="008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12pt">
    <w:name w:val="Body text (2) + 12 pt"/>
    <w:aliases w:val="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MicrosoftSansSerif">
    <w:name w:val="Body text + Microsoft Sans Serif"/>
    <w:aliases w:val="13 pt,Spacing 0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336" w:lineRule="exact"/>
      <w:jc w:val="center"/>
    </w:pPr>
    <w:rPr>
      <w:rFonts w:ascii="Arial" w:eastAsia="Arial" w:hAnsi="Arial" w:cs="Arial"/>
      <w:b/>
      <w:bCs/>
      <w:spacing w:val="1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240" w:line="0" w:lineRule="atLeas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60" w:line="346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46" w:lineRule="exact"/>
      <w:ind w:hanging="42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4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420"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12pt">
    <w:name w:val="Body text (2) + 12 pt"/>
    <w:aliases w:val="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MicrosoftSansSerif">
    <w:name w:val="Body text + Microsoft Sans Serif"/>
    <w:aliases w:val="13 pt,Spacing 0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336" w:lineRule="exact"/>
      <w:jc w:val="center"/>
    </w:pPr>
    <w:rPr>
      <w:rFonts w:ascii="Arial" w:eastAsia="Arial" w:hAnsi="Arial" w:cs="Arial"/>
      <w:b/>
      <w:bCs/>
      <w:spacing w:val="1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240" w:line="0" w:lineRule="atLeas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60" w:line="346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46" w:lineRule="exact"/>
      <w:ind w:hanging="42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94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420"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M.3194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2017-12-30T11:26:00Z</dcterms:created>
  <dcterms:modified xsi:type="dcterms:W3CDTF">2017-12-30T11:27:00Z</dcterms:modified>
</cp:coreProperties>
</file>