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9B" w:rsidRDefault="0090408E" w:rsidP="0090408E">
      <w:pPr>
        <w:pStyle w:val="NoSpacing"/>
        <w:ind w:left="1440" w:firstLine="720"/>
        <w:rPr>
          <w:rFonts w:ascii="Arial" w:hAnsi="Arial" w:cs="Arial"/>
          <w:b/>
          <w:color w:val="244061" w:themeColor="accent1" w:themeShade="80"/>
          <w:sz w:val="32"/>
          <w:szCs w:val="32"/>
        </w:rPr>
      </w:pPr>
      <w:r w:rsidRPr="005532C8">
        <w:rPr>
          <w:rFonts w:ascii="Arial" w:hAnsi="Arial" w:cs="Arial"/>
          <w:b/>
          <w:noProof/>
          <w:color w:val="244061" w:themeColor="accent1" w:themeShade="80"/>
        </w:rPr>
        <w:drawing>
          <wp:anchor distT="0" distB="0" distL="114300" distR="114300" simplePos="0" relativeHeight="251658240" behindDoc="0" locked="0" layoutInCell="1" allowOverlap="1" wp14:anchorId="4669B2D4" wp14:editId="5FFE410F">
            <wp:simplePos x="0" y="0"/>
            <wp:positionH relativeFrom="column">
              <wp:posOffset>93165</wp:posOffset>
            </wp:positionH>
            <wp:positionV relativeFrom="paragraph">
              <wp:posOffset>88737</wp:posOffset>
            </wp:positionV>
            <wp:extent cx="1112808" cy="1199883"/>
            <wp:effectExtent l="171450" t="171450" r="373380" b="3625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95" cy="119490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A1736" w:rsidRPr="005532C8">
        <w:rPr>
          <w:rFonts w:ascii="Arial" w:hAnsi="Arial" w:cs="Arial"/>
          <w:b/>
          <w:color w:val="244061" w:themeColor="accent1" w:themeShade="80"/>
          <w:sz w:val="32"/>
          <w:szCs w:val="32"/>
        </w:rPr>
        <w:t>DENNIS</w:t>
      </w:r>
    </w:p>
    <w:p w:rsidR="009A1736" w:rsidRPr="005532C8" w:rsidRDefault="00CC3B9B" w:rsidP="0090408E">
      <w:pPr>
        <w:pStyle w:val="NoSpacing"/>
        <w:ind w:left="1440" w:firstLine="720"/>
        <w:rPr>
          <w:rFonts w:ascii="Arial" w:hAnsi="Arial" w:cs="Arial"/>
          <w:b/>
          <w:color w:val="244061" w:themeColor="accent1" w:themeShade="80"/>
          <w:sz w:val="32"/>
          <w:szCs w:val="32"/>
        </w:rPr>
      </w:pPr>
      <w:hyperlink r:id="rId9" w:history="1">
        <w:r w:rsidRPr="001D68EA">
          <w:rPr>
            <w:rStyle w:val="Hyperlink"/>
            <w:rFonts w:ascii="Arial" w:hAnsi="Arial" w:cs="Arial"/>
            <w:b/>
            <w:sz w:val="32"/>
            <w:szCs w:val="32"/>
          </w:rPr>
          <w:t>DENNIS.330948@2freemail.com</w:t>
        </w:r>
      </w:hyperlink>
      <w:r>
        <w:rPr>
          <w:rFonts w:ascii="Arial" w:hAnsi="Arial" w:cs="Arial"/>
          <w:b/>
          <w:color w:val="244061" w:themeColor="accent1" w:themeShade="80"/>
          <w:sz w:val="32"/>
          <w:szCs w:val="32"/>
        </w:rPr>
        <w:t xml:space="preserve"> </w:t>
      </w:r>
      <w:bookmarkStart w:id="0" w:name="_GoBack"/>
      <w:bookmarkEnd w:id="0"/>
      <w:r w:rsidR="009A1736" w:rsidRPr="005532C8">
        <w:rPr>
          <w:rFonts w:ascii="Arial" w:hAnsi="Arial" w:cs="Arial"/>
          <w:b/>
          <w:color w:val="244061" w:themeColor="accent1" w:themeShade="80"/>
          <w:sz w:val="32"/>
          <w:szCs w:val="32"/>
        </w:rPr>
        <w:t xml:space="preserve"> </w:t>
      </w:r>
    </w:p>
    <w:p w:rsidR="00CC4755" w:rsidRPr="0090408E" w:rsidRDefault="00D13193" w:rsidP="00B1392F">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1" locked="0" layoutInCell="1" allowOverlap="1">
                <wp:simplePos x="0" y="0"/>
                <wp:positionH relativeFrom="column">
                  <wp:posOffset>1293223</wp:posOffset>
                </wp:positionH>
                <wp:positionV relativeFrom="paragraph">
                  <wp:posOffset>126316</wp:posOffset>
                </wp:positionV>
                <wp:extent cx="5807034" cy="463137"/>
                <wp:effectExtent l="0" t="0" r="22860" b="13335"/>
                <wp:wrapNone/>
                <wp:docPr id="6" name="Rectangle 6"/>
                <wp:cNvGraphicFramePr/>
                <a:graphic xmlns:a="http://schemas.openxmlformats.org/drawingml/2006/main">
                  <a:graphicData uri="http://schemas.microsoft.com/office/word/2010/wordprocessingShape">
                    <wps:wsp>
                      <wps:cNvSpPr/>
                      <wps:spPr>
                        <a:xfrm>
                          <a:off x="0" y="0"/>
                          <a:ext cx="5807034" cy="46313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193" w:rsidRDefault="00D13193" w:rsidP="00D13193">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01.85pt;margin-top:9.95pt;width:457.25pt;height:36.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LpgIAAP8FAAAOAAAAZHJzL2Uyb0RvYy54bWy0VE1v2zAMvQ/YfxB0X+2kaZoFdYqgRYcB&#10;XVu0HXpWZCk2IImapMTJfv0oyXE/VuwwbBeZFMlH8lnk2flOK7IVzrdgKjo6KikRhkPdmnVFvz9e&#10;fZpR4gMzNVNgREX3wtPzxccPZ52dizE0oGrhCIIYP+9sRZsQ7LwoPG+EZv4IrDBolOA0C6i6dVE7&#10;1iG6VsW4LKdFB662DrjwHm8vs5EuEr6UgodbKb0IRFUUawvpdOlcxbNYnLH52jHbtLwvg/1FFZq1&#10;BpMOUJcsMLJx7W9QuuUOPMhwxEEXIGXLReoBuxmVb7p5aJgVqRckx9uBJv/vYPnN9s6Rtq7olBLD&#10;NP6ieySNmbUSZBrp6ayfo9eDvXO95lGMve6k0/GLXZBdonQ/UCp2gXC8PJmVp+XxhBKOtsn0eHR8&#10;GkGL52jrfPgiQJMoVNRh9sQk2177kF0PLjGZB9XWV61SSYnPRFwoR7YMf/BqPUqhaqO/QZ3vZidl&#10;mX4zpkyvKrqnAl4hKfPfwDFxRC8ikZm6JIW9EjGnMvdC4h9Assap+qHK3ADjXJiQG/MNq0W+jm29&#10;31cCjMgSWRqwe4DXhB2wM829fwwVaXSG4PJPheXgISJlBhOGYN0acO8BKOyqz5z9DyRlaiJLYbfa&#10;oUsUV1Dv8ak6yDPsLb9q8cVcMx/umMOhxfHGRRRu8ZAKuopCL1HSgPv53n30x1lCKyUdLoGK+h8b&#10;5gQl6qvBKfs8mkzi1kjK5OR0jIp7aVm9tJiNvgB8hiNceZYnMfoHdRClA/2E+2oZs6KJGY65K8qD&#10;OygXIS8n3HhcLJfJDTeFZeHaPFgewSPBcSIed0/M2X5sAg7cDRwWBpu/mZ7sGyMNLDcBZJtG65nX&#10;nnrcMmk2+o0Y19hLPXk97+3FLwAAAP//AwBQSwMEFAAGAAgAAAAhAAtiQGTfAAAACgEAAA8AAABk&#10;cnMvZG93bnJldi54bWxMj8FOwzAQRO9I/IO1SNyonVQiTohTIVAlbqhtgKsbL0lovI5itw1/j3sq&#10;x9U8zbwtV7Md2Akn3ztSkCwEMKTGmZ5aBfVu/SCB+aDJ6MERKvhFD6vq9qbUhXFn2uBpG1oWS8gX&#10;WkEXwlhw7psOrfYLNyLF7NtNVod4Ti03kz7HcjvwVIhHbnVPcaHTI7502By2R6tgl23qL3l4Xb5n&#10;n7b/yd4+pKjXSt3fzc9PwALO4QrDRT+qQxWd9u5IxrNBQSqWWURjkOfALkCSyBTYXkGeSuBVyf+/&#10;UP0BAAD//wMAUEsBAi0AFAAGAAgAAAAhALaDOJL+AAAA4QEAABMAAAAAAAAAAAAAAAAAAAAAAFtD&#10;b250ZW50X1R5cGVzXS54bWxQSwECLQAUAAYACAAAACEAOP0h/9YAAACUAQAACwAAAAAAAAAAAAAA&#10;AAAvAQAAX3JlbHMvLnJlbHNQSwECLQAUAAYACAAAACEAUffzS6YCAAD/BQAADgAAAAAAAAAAAAAA&#10;AAAuAgAAZHJzL2Uyb0RvYy54bWxQSwECLQAUAAYACAAAACEAC2JAZN8AAAAKAQAADwAAAAAAAAAA&#10;AAAAAAAABQAAZHJzL2Rvd25yZXYueG1sUEsFBgAAAAAEAAQA8wAAAAwGAAAAAA==&#10;" fillcolor="#d8d8d8 [2732]" strokecolor="#d8d8d8 [2732]" strokeweight="2pt">
                <v:textbox>
                  <w:txbxContent>
                    <w:p w:rsidR="00D13193" w:rsidRDefault="00D13193" w:rsidP="00D13193">
                      <w:pPr>
                        <w:jc w:val="center"/>
                      </w:pPr>
                      <w:r>
                        <w:t>000</w:t>
                      </w:r>
                    </w:p>
                  </w:txbxContent>
                </v:textbox>
              </v:rect>
            </w:pict>
          </mc:Fallback>
        </mc:AlternateContent>
      </w:r>
    </w:p>
    <w:p w:rsidR="00FC7F6B" w:rsidRPr="005532C8" w:rsidRDefault="0090408E" w:rsidP="00D13193">
      <w:pPr>
        <w:pStyle w:val="NoSpacing"/>
        <w:ind w:left="2160"/>
        <w:jc w:val="center"/>
        <w:rPr>
          <w:rFonts w:ascii="Arial" w:hAnsi="Arial" w:cs="Arial"/>
          <w:b/>
          <w:color w:val="244061" w:themeColor="accent1" w:themeShade="80"/>
          <w:sz w:val="24"/>
          <w:szCs w:val="24"/>
        </w:rPr>
      </w:pPr>
      <w:r w:rsidRPr="005532C8">
        <w:rPr>
          <w:rFonts w:ascii="Arial" w:hAnsi="Arial" w:cs="Arial"/>
          <w:b/>
          <w:noProof/>
          <w:color w:val="244061" w:themeColor="accent1" w:themeShade="80"/>
          <w:sz w:val="24"/>
          <w:szCs w:val="24"/>
        </w:rPr>
        <w:t>Accountant- Accounts Payable, Projects &amp; Fixed Assets Accounting, Precious Metal Trading and Administrative Support Professional</w:t>
      </w:r>
    </w:p>
    <w:p w:rsidR="00622594" w:rsidRDefault="005B79A2" w:rsidP="00B1392F">
      <w:pPr>
        <w:pStyle w:val="NoSpacing"/>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09E656B3" wp14:editId="6498BEA8">
                <wp:simplePos x="0" y="0"/>
                <wp:positionH relativeFrom="column">
                  <wp:posOffset>-72439</wp:posOffset>
                </wp:positionH>
                <wp:positionV relativeFrom="paragraph">
                  <wp:posOffset>119504</wp:posOffset>
                </wp:positionV>
                <wp:extent cx="1365662" cy="190005"/>
                <wp:effectExtent l="0" t="0" r="25400" b="19685"/>
                <wp:wrapNone/>
                <wp:docPr id="1" name="Rounded Rectangle 1"/>
                <wp:cNvGraphicFramePr/>
                <a:graphic xmlns:a="http://schemas.openxmlformats.org/drawingml/2006/main">
                  <a:graphicData uri="http://schemas.microsoft.com/office/word/2010/wordprocessingShape">
                    <wps:wsp>
                      <wps:cNvSpPr/>
                      <wps:spPr>
                        <a:xfrm>
                          <a:off x="0" y="0"/>
                          <a:ext cx="1365662" cy="190005"/>
                        </a:xfrm>
                        <a:prstGeom prst="roundRect">
                          <a:avLst/>
                        </a:prstGeom>
                        <a:solidFill>
                          <a:schemeClr val="bg1">
                            <a:lumMod val="8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5.7pt;margin-top:9.4pt;width:107.55pt;height:14.9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v4pwIAAAEGAAAOAAAAZHJzL2Uyb0RvYy54bWysVE1v2zAMvQ/YfxB0X+1kTdYGdYqgRYcB&#10;XRu0HXpWZCk2IImapMTJfv0oyXE/VgxDsYtMiuQj+Szy7HynFdkK51swFR0dlZQIw6FuzbqiPx6u&#10;Pp1Q4gMzNVNgREX3wtPz+ccPZ52diTE0oGrhCIIYP+tsRZsQ7KwoPG+EZv4IrDBolOA0C6i6dVE7&#10;1iG6VsW4LKdFB662DrjwHm8vs5HOE76UgodbKb0IRFUUawvpdOlcxbOYn7HZ2jHbtLwvg72jCs1a&#10;g0kHqEsWGNm49g8o3XIHHmQ44qALkLLlIvWA3YzKV93cN8yK1AuS4+1Ak/9/sPxmu3SkrfHfUWKY&#10;xl90BxtTi5rcIXnMrJUgo0hTZ/0Mve/t0vWaRzH2vJNOxy92Q3aJ2v1ArdgFwvFy9Hk6mU7HlHC0&#10;jU7LspxE0OIp2jofvgrQJAoVdbGKWEKilW2vfcj+B7+Y0YNq66tWqaTENyMulCNbhn97tR6lULXR&#10;36HOdycTTNznTU8suqcqXiAp8x7w038Bx4YjehHZzPwlKeyViDmVuRMSfwcyNk7VD1XmBhjnwoTc&#10;mG9YLfJ1zPx2XwkwIktkacDuAV4SdsDONPf+MVSkORqCy78VloOHiJQZTBiCdWvAvQWgsKs+c/Y/&#10;kJSpiSytoN7jY3WQp9hbftXiW7lmPiyZw7HFAcdVFG7xkAq6ikIvUdKA+/XWffTHaUIrJR2ugYr6&#10;nxvmBCXqm8E5Ox0dH8e9kZTjyZcxKu65ZfXcYjb6AvDt4SxhdUmM/kEdROlAP+LGWsSsaGKGY+6K&#10;8uAOykXI6wl3HheLRXLDXWFZuDb3lkfwyGocg4fdI3O2H5iAo3YDh5XBZq9GJvvGSAOLTQDZpnl6&#10;4rXnG/dMGoh+J8ZF9lxPXk+be/4bAAD//wMAUEsDBBQABgAIAAAAIQCy1Syd3wAAAAkBAAAPAAAA&#10;ZHJzL2Rvd25yZXYueG1sTI9BS8NAEIXvQv/DMoIXaTepxYaYTSlCT2LBRsTjNjsm0exsyG6b7b93&#10;etLj8D7efK/YRNuLM46+c6QgXSQgkGpnOmoUvFe7eQbCB01G945QwQU9bMrZTaFz4yZ6w/MhNIJL&#10;yOdaQRvCkEvp6xat9gs3IHH25UarA59jI82oJy63vVwmyaO0uiP+0OoBn1usfw4nq6D6iFO4fO4b&#10;enl1Md4P35juKqXubuP2CUTAGP5guOqzOpTsdHQnMl70CuZpumKUg4wnMLBMHtYgjgpW2RpkWcj/&#10;C8pfAAAA//8DAFBLAQItABQABgAIAAAAIQC2gziS/gAAAOEBAAATAAAAAAAAAAAAAAAAAAAAAABb&#10;Q29udGVudF9UeXBlc10ueG1sUEsBAi0AFAAGAAgAAAAhADj9If/WAAAAlAEAAAsAAAAAAAAAAAAA&#10;AAAALwEAAF9yZWxzLy5yZWxzUEsBAi0AFAAGAAgAAAAhAKbgq/inAgAAAQYAAA4AAAAAAAAAAAAA&#10;AAAALgIAAGRycy9lMm9Eb2MueG1sUEsBAi0AFAAGAAgAAAAhALLVLJ3fAAAACQEAAA8AAAAAAAAA&#10;AAAAAAAAAQUAAGRycy9kb3ducmV2LnhtbFBLBQYAAAAABAAEAPMAAAANBgAAAAA=&#10;" fillcolor="#d8d8d8 [2732]" strokecolor="#f2f2f2 [3052]" strokeweight="2pt"/>
            </w:pict>
          </mc:Fallback>
        </mc:AlternateContent>
      </w:r>
    </w:p>
    <w:p w:rsidR="00622594" w:rsidRDefault="00622594" w:rsidP="00B1392F">
      <w:pPr>
        <w:pStyle w:val="NoSpacing"/>
        <w:rPr>
          <w:rFonts w:ascii="Arial" w:hAnsi="Arial" w:cs="Arial"/>
        </w:rPr>
        <w:sectPr w:rsidR="00622594" w:rsidSect="00B27F0E">
          <w:footerReference w:type="default" r:id="rId10"/>
          <w:pgSz w:w="12240" w:h="15840"/>
          <w:pgMar w:top="288" w:right="720" w:bottom="0" w:left="288" w:header="720" w:footer="720" w:gutter="0"/>
          <w:pgBorders w:offsetFrom="page">
            <w:bottom w:val="single" w:sz="4" w:space="24" w:color="auto"/>
            <w:right w:val="single" w:sz="4" w:space="24" w:color="auto"/>
          </w:pgBorders>
          <w:cols w:space="720"/>
          <w:docGrid w:linePitch="360"/>
        </w:sectPr>
      </w:pPr>
    </w:p>
    <w:p w:rsidR="00D27E84" w:rsidRPr="00277DA7" w:rsidRDefault="00D27E84" w:rsidP="00622594">
      <w:pPr>
        <w:pStyle w:val="NoSpacing"/>
        <w:rPr>
          <w:rFonts w:ascii="Arial" w:hAnsi="Arial" w:cs="Arial"/>
          <w:b/>
          <w:color w:val="000000" w:themeColor="text1"/>
          <w:sz w:val="24"/>
          <w:szCs w:val="24"/>
        </w:rPr>
      </w:pPr>
      <w:r w:rsidRPr="00277DA7">
        <w:rPr>
          <w:rFonts w:ascii="Arial" w:hAnsi="Arial" w:cs="Arial"/>
          <w:b/>
          <w:color w:val="000000" w:themeColor="text1"/>
          <w:sz w:val="24"/>
          <w:szCs w:val="24"/>
        </w:rPr>
        <w:lastRenderedPageBreak/>
        <w:t>Curriculum Vitae</w:t>
      </w:r>
    </w:p>
    <w:p w:rsidR="00D27E84" w:rsidRDefault="00D27E84" w:rsidP="00D27E84">
      <w:pPr>
        <w:pStyle w:val="NoSpacing"/>
        <w:jc w:val="both"/>
        <w:rPr>
          <w:rFonts w:ascii="Arial" w:hAnsi="Arial" w:cs="Arial"/>
          <w:sz w:val="20"/>
          <w:szCs w:val="20"/>
        </w:rPr>
      </w:pPr>
      <w:r w:rsidRPr="00666A67">
        <w:rPr>
          <w:rFonts w:ascii="Arial" w:hAnsi="Arial" w:cs="Arial"/>
          <w:b/>
          <w:color w:val="1F497D" w:themeColor="text2"/>
          <w:sz w:val="20"/>
          <w:szCs w:val="20"/>
        </w:rPr>
        <w:t>PROFILE SUMMARY</w:t>
      </w:r>
    </w:p>
    <w:p w:rsidR="00D27E84" w:rsidRPr="004D4E77" w:rsidRDefault="00D27E84" w:rsidP="00D27E84">
      <w:pPr>
        <w:pStyle w:val="NoSpacing"/>
        <w:numPr>
          <w:ilvl w:val="0"/>
          <w:numId w:val="1"/>
        </w:numPr>
        <w:rPr>
          <w:rFonts w:ascii="Arial" w:hAnsi="Arial" w:cs="Arial"/>
          <w:sz w:val="20"/>
          <w:szCs w:val="20"/>
        </w:rPr>
      </w:pPr>
      <w:r w:rsidRPr="007D2503">
        <w:rPr>
          <w:rFonts w:ascii="Arial" w:hAnsi="Arial" w:cs="Arial"/>
          <w:b/>
          <w:sz w:val="20"/>
          <w:szCs w:val="20"/>
        </w:rPr>
        <w:t xml:space="preserve">9+years </w:t>
      </w:r>
      <w:r w:rsidRPr="00666A67">
        <w:rPr>
          <w:rFonts w:ascii="Arial" w:hAnsi="Arial" w:cs="Arial"/>
          <w:sz w:val="20"/>
          <w:szCs w:val="20"/>
        </w:rPr>
        <w:t xml:space="preserve">of </w:t>
      </w:r>
      <w:r>
        <w:rPr>
          <w:rFonts w:ascii="Arial" w:hAnsi="Arial" w:cs="Arial"/>
          <w:sz w:val="20"/>
          <w:szCs w:val="20"/>
        </w:rPr>
        <w:t xml:space="preserve">combined work </w:t>
      </w:r>
      <w:r w:rsidRPr="00666A67">
        <w:rPr>
          <w:rFonts w:ascii="Arial" w:hAnsi="Arial" w:cs="Arial"/>
          <w:sz w:val="20"/>
          <w:szCs w:val="20"/>
        </w:rPr>
        <w:t xml:space="preserve">experience </w:t>
      </w:r>
      <w:r>
        <w:rPr>
          <w:rFonts w:ascii="Arial" w:hAnsi="Arial" w:cs="Arial"/>
          <w:sz w:val="20"/>
          <w:szCs w:val="20"/>
        </w:rPr>
        <w:t xml:space="preserve">as a </w:t>
      </w:r>
      <w:r w:rsidRPr="004D4E77">
        <w:rPr>
          <w:rFonts w:ascii="Arial" w:hAnsi="Arial" w:cs="Arial"/>
          <w:sz w:val="20"/>
          <w:szCs w:val="20"/>
        </w:rPr>
        <w:t>Corporate Finance Analyst and Trading Accounts &amp; Admin Executive.</w:t>
      </w:r>
    </w:p>
    <w:p w:rsidR="00D27E84" w:rsidRDefault="00D27E84" w:rsidP="00D27E84">
      <w:pPr>
        <w:pStyle w:val="NoSpacing"/>
        <w:numPr>
          <w:ilvl w:val="0"/>
          <w:numId w:val="1"/>
        </w:numPr>
        <w:rPr>
          <w:rFonts w:ascii="Arial" w:hAnsi="Arial" w:cs="Arial"/>
          <w:sz w:val="20"/>
          <w:szCs w:val="20"/>
        </w:rPr>
      </w:pPr>
      <w:r w:rsidRPr="00666A67">
        <w:rPr>
          <w:rFonts w:ascii="Arial" w:hAnsi="Arial" w:cs="Arial"/>
          <w:sz w:val="20"/>
          <w:szCs w:val="20"/>
        </w:rPr>
        <w:t xml:space="preserve">Gained </w:t>
      </w:r>
      <w:r>
        <w:rPr>
          <w:rFonts w:ascii="Arial" w:hAnsi="Arial" w:cs="Arial"/>
          <w:sz w:val="20"/>
          <w:szCs w:val="20"/>
        </w:rPr>
        <w:t xml:space="preserve">experience from a </w:t>
      </w:r>
      <w:r w:rsidRPr="00666A67">
        <w:rPr>
          <w:rFonts w:ascii="Arial" w:hAnsi="Arial" w:cs="Arial"/>
          <w:sz w:val="20"/>
          <w:szCs w:val="20"/>
        </w:rPr>
        <w:t>Multinational Oil and Gas C</w:t>
      </w:r>
      <w:r>
        <w:rPr>
          <w:rFonts w:ascii="Arial" w:hAnsi="Arial" w:cs="Arial"/>
          <w:sz w:val="20"/>
          <w:szCs w:val="20"/>
        </w:rPr>
        <w:t>ompany in the Philippines for 7+years</w:t>
      </w:r>
      <w:r w:rsidRPr="00666A67">
        <w:rPr>
          <w:rFonts w:ascii="Arial" w:hAnsi="Arial" w:cs="Arial"/>
          <w:sz w:val="20"/>
          <w:szCs w:val="20"/>
        </w:rPr>
        <w:t xml:space="preserve"> and Preciou</w:t>
      </w:r>
      <w:r>
        <w:rPr>
          <w:rFonts w:ascii="Arial" w:hAnsi="Arial" w:cs="Arial"/>
          <w:sz w:val="20"/>
          <w:szCs w:val="20"/>
        </w:rPr>
        <w:t>s Metals Trading Company in UAE for 1+ year.</w:t>
      </w:r>
    </w:p>
    <w:p w:rsidR="00D27E84" w:rsidRDefault="00D27E84" w:rsidP="00D27E84">
      <w:pPr>
        <w:pStyle w:val="NoSpacing"/>
        <w:numPr>
          <w:ilvl w:val="0"/>
          <w:numId w:val="1"/>
        </w:numPr>
        <w:rPr>
          <w:rFonts w:ascii="Arial" w:hAnsi="Arial" w:cs="Arial"/>
          <w:sz w:val="20"/>
          <w:szCs w:val="20"/>
        </w:rPr>
      </w:pPr>
      <w:r>
        <w:rPr>
          <w:rFonts w:ascii="Arial" w:hAnsi="Arial" w:cs="Arial"/>
          <w:sz w:val="20"/>
          <w:szCs w:val="20"/>
        </w:rPr>
        <w:t>Working Expertise in Accounts Payable, Fixed Assets Accounting &amp; Precious Metals Trading.</w:t>
      </w:r>
    </w:p>
    <w:p w:rsidR="00D27E84" w:rsidRDefault="00D27E84" w:rsidP="00D27E84">
      <w:pPr>
        <w:pStyle w:val="NoSpacing"/>
        <w:numPr>
          <w:ilvl w:val="0"/>
          <w:numId w:val="1"/>
        </w:numPr>
        <w:rPr>
          <w:rFonts w:ascii="Arial" w:hAnsi="Arial" w:cs="Arial"/>
          <w:sz w:val="20"/>
          <w:szCs w:val="20"/>
        </w:rPr>
      </w:pPr>
      <w:r>
        <w:rPr>
          <w:rFonts w:ascii="Arial" w:hAnsi="Arial" w:cs="Arial"/>
          <w:sz w:val="20"/>
          <w:szCs w:val="20"/>
        </w:rPr>
        <w:t>Hands on Experience in using SAP &amp; Tally 9 ERP (Enterprise Resource Planning)</w:t>
      </w:r>
    </w:p>
    <w:p w:rsidR="00D27E84" w:rsidRPr="00666A67" w:rsidRDefault="00D27E84" w:rsidP="00D27E84">
      <w:pPr>
        <w:pStyle w:val="NoSpacing"/>
        <w:numPr>
          <w:ilvl w:val="0"/>
          <w:numId w:val="1"/>
        </w:numPr>
        <w:rPr>
          <w:rFonts w:ascii="Arial" w:hAnsi="Arial" w:cs="Arial"/>
          <w:sz w:val="20"/>
          <w:szCs w:val="20"/>
        </w:rPr>
      </w:pPr>
      <w:r>
        <w:rPr>
          <w:rFonts w:ascii="Arial" w:hAnsi="Arial" w:cs="Arial"/>
          <w:sz w:val="20"/>
          <w:szCs w:val="20"/>
        </w:rPr>
        <w:t>Working experiences in various process improvements, documentations and initiatives.</w:t>
      </w:r>
    </w:p>
    <w:p w:rsidR="00D750E6" w:rsidRDefault="00D750E6" w:rsidP="00D27E84">
      <w:pPr>
        <w:pStyle w:val="NoSpacing"/>
        <w:rPr>
          <w:rFonts w:ascii="Arial" w:hAnsi="Arial" w:cs="Arial"/>
          <w:sz w:val="20"/>
          <w:szCs w:val="20"/>
        </w:rPr>
      </w:pPr>
    </w:p>
    <w:p w:rsidR="00D27E84" w:rsidRDefault="00D27E84" w:rsidP="00D27E84">
      <w:pPr>
        <w:pStyle w:val="NoSpacing"/>
        <w:rPr>
          <w:rFonts w:ascii="Arial" w:hAnsi="Arial" w:cs="Arial"/>
          <w:b/>
          <w:sz w:val="20"/>
          <w:szCs w:val="20"/>
        </w:rPr>
      </w:pPr>
      <w:r w:rsidRPr="00666A67">
        <w:rPr>
          <w:rFonts w:ascii="Arial" w:hAnsi="Arial" w:cs="Arial"/>
          <w:b/>
          <w:color w:val="1F497D" w:themeColor="text2"/>
          <w:sz w:val="20"/>
          <w:szCs w:val="20"/>
        </w:rPr>
        <w:t>CAREER OBJECTIVE</w:t>
      </w:r>
    </w:p>
    <w:p w:rsidR="00D27E84" w:rsidRDefault="00D27E84" w:rsidP="00D750E6">
      <w:pPr>
        <w:pStyle w:val="NoSpacing"/>
        <w:numPr>
          <w:ilvl w:val="0"/>
          <w:numId w:val="2"/>
        </w:numPr>
        <w:rPr>
          <w:rFonts w:ascii="Arial" w:hAnsi="Arial" w:cs="Arial"/>
          <w:sz w:val="20"/>
          <w:szCs w:val="20"/>
        </w:rPr>
      </w:pPr>
      <w:r w:rsidRPr="00666A67">
        <w:rPr>
          <w:rFonts w:ascii="Arial" w:hAnsi="Arial" w:cs="Arial"/>
          <w:sz w:val="20"/>
          <w:szCs w:val="20"/>
        </w:rPr>
        <w:t>Currently looking at building a long-term career in</w:t>
      </w:r>
      <w:r w:rsidR="00E41961">
        <w:rPr>
          <w:rFonts w:ascii="Arial" w:hAnsi="Arial" w:cs="Arial"/>
          <w:sz w:val="20"/>
          <w:szCs w:val="20"/>
        </w:rPr>
        <w:t xml:space="preserve"> Financial </w:t>
      </w:r>
      <w:r w:rsidR="00012266">
        <w:rPr>
          <w:rFonts w:ascii="Arial" w:hAnsi="Arial" w:cs="Arial"/>
          <w:sz w:val="20"/>
          <w:szCs w:val="20"/>
        </w:rPr>
        <w:t xml:space="preserve">Service Activities in </w:t>
      </w:r>
      <w:r w:rsidR="00012266" w:rsidRPr="00666A67">
        <w:rPr>
          <w:rFonts w:ascii="Arial" w:hAnsi="Arial" w:cs="Arial"/>
          <w:sz w:val="20"/>
          <w:szCs w:val="20"/>
        </w:rPr>
        <w:t>a</w:t>
      </w:r>
      <w:r w:rsidRPr="00666A67">
        <w:rPr>
          <w:rFonts w:ascii="Arial" w:hAnsi="Arial" w:cs="Arial"/>
          <w:sz w:val="20"/>
          <w:szCs w:val="20"/>
        </w:rPr>
        <w:t xml:space="preserve"> result-oriented company, where</w:t>
      </w:r>
      <w:r>
        <w:rPr>
          <w:rFonts w:ascii="Arial" w:hAnsi="Arial" w:cs="Arial"/>
          <w:sz w:val="20"/>
          <w:szCs w:val="20"/>
        </w:rPr>
        <w:t>in</w:t>
      </w:r>
      <w:r w:rsidRPr="00666A67">
        <w:rPr>
          <w:rFonts w:ascii="Arial" w:hAnsi="Arial" w:cs="Arial"/>
          <w:sz w:val="20"/>
          <w:szCs w:val="20"/>
        </w:rPr>
        <w:t xml:space="preserve"> I can make meaningful contribution in realizing the organization’s goals through full-utilization of my skills and expertise.</w:t>
      </w:r>
      <w:r w:rsidR="00D750E6" w:rsidRPr="00D750E6">
        <w:t xml:space="preserve"> </w:t>
      </w:r>
      <w:r w:rsidR="00D750E6" w:rsidRPr="00D750E6">
        <w:rPr>
          <w:rFonts w:ascii="Arial" w:hAnsi="Arial" w:cs="Arial"/>
          <w:sz w:val="20"/>
          <w:szCs w:val="20"/>
        </w:rPr>
        <w:t>This way, my goal of having continuous professional growth and advancement is also achieved.</w:t>
      </w:r>
    </w:p>
    <w:p w:rsidR="00D27E84" w:rsidRDefault="00D27E84" w:rsidP="00B1392F">
      <w:pPr>
        <w:pStyle w:val="NoSpacing"/>
        <w:rPr>
          <w:rFonts w:ascii="Arial" w:hAnsi="Arial" w:cs="Arial"/>
        </w:rPr>
      </w:pPr>
    </w:p>
    <w:p w:rsidR="00611C44" w:rsidRDefault="00611C44" w:rsidP="00B1392F">
      <w:pPr>
        <w:pStyle w:val="NoSpacing"/>
        <w:rPr>
          <w:rFonts w:ascii="Arial" w:hAnsi="Arial" w:cs="Arial"/>
        </w:rPr>
        <w:sectPr w:rsidR="00611C44" w:rsidSect="00B27F0E">
          <w:type w:val="continuous"/>
          <w:pgSz w:w="12240" w:h="15840"/>
          <w:pgMar w:top="288" w:right="720" w:bottom="288" w:left="288" w:header="720" w:footer="720" w:gutter="0"/>
          <w:pgBorders w:offsetFrom="page">
            <w:bottom w:val="single" w:sz="4" w:space="24" w:color="auto"/>
            <w:right w:val="single" w:sz="4" w:space="24" w:color="auto"/>
          </w:pgBorders>
          <w:cols w:space="432"/>
          <w:docGrid w:linePitch="360"/>
        </w:sectPr>
      </w:pPr>
    </w:p>
    <w:p w:rsidR="00974F7E" w:rsidRPr="0099436A" w:rsidRDefault="00974F7E" w:rsidP="00E41961">
      <w:pPr>
        <w:pStyle w:val="NoSpacing"/>
        <w:rPr>
          <w:rFonts w:ascii="Arial" w:hAnsi="Arial" w:cs="Arial"/>
          <w:b/>
          <w:color w:val="1F497D" w:themeColor="text2"/>
          <w:sz w:val="20"/>
          <w:szCs w:val="20"/>
        </w:rPr>
      </w:pPr>
      <w:r w:rsidRPr="00666A67">
        <w:rPr>
          <w:rFonts w:ascii="Arial" w:hAnsi="Arial" w:cs="Arial"/>
          <w:b/>
          <w:color w:val="1F497D" w:themeColor="text2"/>
          <w:sz w:val="20"/>
          <w:szCs w:val="20"/>
        </w:rPr>
        <w:lastRenderedPageBreak/>
        <w:t>KEY SKILLS</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Accounts Payable (Invoice Processing and Payments)</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Projects and Fixed Assets Accounting</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Month End Close Activities, Accounts Reconciliation, Trace and Escalation</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MIS reporting, Contracts Hedging and Batch Margin Analysis (Sales &amp; Purchase Analysis)</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Petty Cash Management</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Business Partner and Customer Engagement</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Performing Sarbanes Oxley (SOX) compliance Functions</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Developing Process Documentation and Process Improvement.</w:t>
      </w:r>
    </w:p>
    <w:p w:rsidR="00974F7E" w:rsidRPr="00666A67" w:rsidRDefault="00974F7E" w:rsidP="00E41961">
      <w:pPr>
        <w:pStyle w:val="NoSpacing"/>
        <w:numPr>
          <w:ilvl w:val="0"/>
          <w:numId w:val="4"/>
        </w:numPr>
        <w:rPr>
          <w:rFonts w:ascii="Arial" w:hAnsi="Arial" w:cs="Arial"/>
          <w:sz w:val="20"/>
          <w:szCs w:val="20"/>
        </w:rPr>
      </w:pPr>
      <w:r w:rsidRPr="00666A67">
        <w:rPr>
          <w:rFonts w:ascii="Arial" w:hAnsi="Arial" w:cs="Arial"/>
          <w:sz w:val="20"/>
          <w:szCs w:val="20"/>
        </w:rPr>
        <w:t>Performing Administrative Functions and Time Management.</w:t>
      </w:r>
    </w:p>
    <w:p w:rsidR="00974F7E" w:rsidRPr="00666A67" w:rsidRDefault="00974F7E" w:rsidP="00974F7E">
      <w:pPr>
        <w:pStyle w:val="NoSpacing"/>
        <w:jc w:val="both"/>
        <w:rPr>
          <w:rFonts w:ascii="Arial" w:hAnsi="Arial" w:cs="Arial"/>
          <w:sz w:val="20"/>
          <w:szCs w:val="20"/>
        </w:rPr>
      </w:pPr>
    </w:p>
    <w:p w:rsidR="00974F7E" w:rsidRPr="0099436A" w:rsidRDefault="00974F7E" w:rsidP="00974F7E">
      <w:pPr>
        <w:pStyle w:val="NoSpacing"/>
        <w:jc w:val="both"/>
        <w:rPr>
          <w:rFonts w:ascii="Arial" w:hAnsi="Arial" w:cs="Arial"/>
          <w:b/>
          <w:color w:val="1F497D" w:themeColor="text2"/>
          <w:sz w:val="20"/>
          <w:szCs w:val="20"/>
        </w:rPr>
      </w:pPr>
      <w:proofErr w:type="gramStart"/>
      <w:r w:rsidRPr="00666A67">
        <w:rPr>
          <w:rFonts w:ascii="Arial" w:hAnsi="Arial" w:cs="Arial"/>
          <w:b/>
          <w:color w:val="1F497D" w:themeColor="text2"/>
          <w:sz w:val="20"/>
          <w:szCs w:val="20"/>
        </w:rPr>
        <w:t>IT</w:t>
      </w:r>
      <w:proofErr w:type="gramEnd"/>
      <w:r w:rsidRPr="00666A67">
        <w:rPr>
          <w:rFonts w:ascii="Arial" w:hAnsi="Arial" w:cs="Arial"/>
          <w:b/>
          <w:color w:val="1F497D" w:themeColor="text2"/>
          <w:sz w:val="20"/>
          <w:szCs w:val="20"/>
        </w:rPr>
        <w:t xml:space="preserve"> SKILLS</w:t>
      </w:r>
    </w:p>
    <w:p w:rsidR="00974F7E" w:rsidRPr="00666A67" w:rsidRDefault="00974F7E" w:rsidP="00974F7E">
      <w:pPr>
        <w:pStyle w:val="NoSpacing"/>
        <w:numPr>
          <w:ilvl w:val="0"/>
          <w:numId w:val="5"/>
        </w:numPr>
        <w:rPr>
          <w:rFonts w:ascii="Arial" w:hAnsi="Arial" w:cs="Arial"/>
          <w:sz w:val="20"/>
          <w:szCs w:val="20"/>
        </w:rPr>
      </w:pPr>
      <w:r w:rsidRPr="00666A67">
        <w:rPr>
          <w:rFonts w:ascii="Arial" w:hAnsi="Arial" w:cs="Arial"/>
          <w:sz w:val="20"/>
          <w:szCs w:val="20"/>
        </w:rPr>
        <w:t>SAP - Financial Accounting / Controlling (FI/CO), Asset Management (AM) Project Systems (PS) and Tally ERP 9.</w:t>
      </w:r>
    </w:p>
    <w:p w:rsidR="00974F7E" w:rsidRPr="00666A67" w:rsidRDefault="00974F7E" w:rsidP="00974F7E">
      <w:pPr>
        <w:pStyle w:val="NoSpacing"/>
        <w:numPr>
          <w:ilvl w:val="0"/>
          <w:numId w:val="5"/>
        </w:numPr>
        <w:rPr>
          <w:rFonts w:ascii="Arial" w:hAnsi="Arial" w:cs="Arial"/>
          <w:sz w:val="20"/>
          <w:szCs w:val="20"/>
        </w:rPr>
      </w:pPr>
      <w:proofErr w:type="spellStart"/>
      <w:r w:rsidRPr="00666A67">
        <w:rPr>
          <w:rFonts w:ascii="Arial" w:hAnsi="Arial" w:cs="Arial"/>
          <w:sz w:val="20"/>
          <w:szCs w:val="20"/>
        </w:rPr>
        <w:t>Hantec</w:t>
      </w:r>
      <w:proofErr w:type="spellEnd"/>
      <w:r w:rsidRPr="00666A67">
        <w:rPr>
          <w:rFonts w:ascii="Arial" w:hAnsi="Arial" w:cs="Arial"/>
          <w:sz w:val="20"/>
          <w:szCs w:val="20"/>
        </w:rPr>
        <w:t xml:space="preserve"> Markets Ltd Platform, SAP Business Intelligence, JP Morgan (JPM) Access and Envoy-Retail System. </w:t>
      </w:r>
    </w:p>
    <w:p w:rsidR="00974F7E" w:rsidRPr="00666A67" w:rsidRDefault="00974F7E" w:rsidP="00974F7E">
      <w:pPr>
        <w:pStyle w:val="NoSpacing"/>
        <w:numPr>
          <w:ilvl w:val="0"/>
          <w:numId w:val="5"/>
        </w:numPr>
        <w:rPr>
          <w:rFonts w:ascii="Arial" w:hAnsi="Arial" w:cs="Arial"/>
          <w:sz w:val="20"/>
          <w:szCs w:val="20"/>
        </w:rPr>
      </w:pPr>
      <w:r w:rsidRPr="00666A67">
        <w:rPr>
          <w:rFonts w:ascii="Arial" w:hAnsi="Arial" w:cs="Arial"/>
          <w:sz w:val="20"/>
          <w:szCs w:val="20"/>
        </w:rPr>
        <w:t xml:space="preserve">Microsoft Office Applications (i.e. Excel, </w:t>
      </w:r>
      <w:proofErr w:type="spellStart"/>
      <w:r w:rsidRPr="00666A67">
        <w:rPr>
          <w:rFonts w:ascii="Arial" w:hAnsi="Arial" w:cs="Arial"/>
          <w:sz w:val="20"/>
          <w:szCs w:val="20"/>
        </w:rPr>
        <w:t>Powerpoint</w:t>
      </w:r>
      <w:proofErr w:type="spellEnd"/>
      <w:r w:rsidRPr="00666A67">
        <w:rPr>
          <w:rFonts w:ascii="Arial" w:hAnsi="Arial" w:cs="Arial"/>
          <w:sz w:val="20"/>
          <w:szCs w:val="20"/>
        </w:rPr>
        <w:t>, Outlook)</w:t>
      </w:r>
    </w:p>
    <w:p w:rsidR="00974F7E" w:rsidRDefault="00974F7E" w:rsidP="00974F7E">
      <w:pPr>
        <w:pStyle w:val="NoSpacing"/>
        <w:rPr>
          <w:rFonts w:ascii="Arial" w:hAnsi="Arial" w:cs="Arial"/>
          <w:sz w:val="20"/>
          <w:szCs w:val="20"/>
        </w:rPr>
      </w:pPr>
    </w:p>
    <w:p w:rsidR="00EC2EC4" w:rsidRDefault="00EC2EC4" w:rsidP="00974F7E">
      <w:pPr>
        <w:pStyle w:val="NoSpacing"/>
        <w:rPr>
          <w:rFonts w:ascii="Arial" w:hAnsi="Arial" w:cs="Arial"/>
          <w:sz w:val="20"/>
          <w:szCs w:val="20"/>
        </w:rPr>
      </w:pPr>
    </w:p>
    <w:p w:rsidR="00974F7E" w:rsidRDefault="00974F7E" w:rsidP="00974F7E">
      <w:pPr>
        <w:pStyle w:val="NoSpacing"/>
        <w:jc w:val="both"/>
        <w:rPr>
          <w:rFonts w:ascii="Arial" w:hAnsi="Arial" w:cs="Arial"/>
          <w:b/>
          <w:color w:val="1F497D" w:themeColor="text2"/>
          <w:sz w:val="20"/>
          <w:szCs w:val="20"/>
        </w:rPr>
      </w:pPr>
    </w:p>
    <w:p w:rsidR="00974F7E" w:rsidRPr="00666A67" w:rsidRDefault="00974F7E" w:rsidP="00974F7E">
      <w:pPr>
        <w:pStyle w:val="NoSpacing"/>
        <w:jc w:val="center"/>
        <w:rPr>
          <w:rFonts w:ascii="Arial" w:hAnsi="Arial" w:cs="Arial"/>
          <w:b/>
          <w:color w:val="1F497D" w:themeColor="text2"/>
          <w:sz w:val="20"/>
          <w:szCs w:val="20"/>
        </w:rPr>
      </w:pPr>
      <w:r w:rsidRPr="00666A67">
        <w:rPr>
          <w:rFonts w:ascii="Arial" w:hAnsi="Arial" w:cs="Arial"/>
          <w:b/>
          <w:color w:val="1F497D" w:themeColor="text2"/>
          <w:sz w:val="20"/>
          <w:szCs w:val="20"/>
        </w:rPr>
        <w:lastRenderedPageBreak/>
        <w:t>HIGHLIGHTS OF CONTRIBUTIONS</w:t>
      </w:r>
    </w:p>
    <w:p w:rsidR="00974F7E" w:rsidRPr="00405671" w:rsidRDefault="00974F7E" w:rsidP="00974F7E">
      <w:pPr>
        <w:pStyle w:val="NoSpacing"/>
        <w:rPr>
          <w:rFonts w:ascii="Arial" w:hAnsi="Arial" w:cs="Arial"/>
          <w:b/>
          <w:sz w:val="20"/>
          <w:szCs w:val="20"/>
        </w:rPr>
      </w:pPr>
      <w:r w:rsidRPr="00405671">
        <w:rPr>
          <w:rFonts w:ascii="Arial" w:hAnsi="Arial" w:cs="Arial"/>
          <w:b/>
          <w:sz w:val="20"/>
          <w:szCs w:val="20"/>
        </w:rPr>
        <w:t>For Precious Metals Trading Company:</w:t>
      </w:r>
    </w:p>
    <w:p w:rsidR="00974F7E" w:rsidRPr="00EC2EC4" w:rsidRDefault="00974F7E" w:rsidP="00EC2EC4">
      <w:pPr>
        <w:pStyle w:val="NoSpacing"/>
        <w:numPr>
          <w:ilvl w:val="0"/>
          <w:numId w:val="7"/>
        </w:numPr>
        <w:rPr>
          <w:rFonts w:ascii="Arial" w:hAnsi="Arial" w:cs="Arial"/>
          <w:sz w:val="20"/>
          <w:szCs w:val="20"/>
        </w:rPr>
      </w:pPr>
      <w:r w:rsidRPr="00405671">
        <w:rPr>
          <w:rFonts w:ascii="Arial" w:hAnsi="Arial" w:cs="Arial"/>
          <w:b/>
          <w:sz w:val="20"/>
          <w:szCs w:val="20"/>
        </w:rPr>
        <w:t>S</w:t>
      </w:r>
      <w:r w:rsidRPr="00666A67">
        <w:rPr>
          <w:rFonts w:ascii="Arial" w:hAnsi="Arial" w:cs="Arial"/>
          <w:sz w:val="20"/>
          <w:szCs w:val="20"/>
        </w:rPr>
        <w:t>trengthened Petty Cash control by implementation of strict compliance in managing indirect expenses (i.e. staff meals, fuel expenses) of the company which prevented potential misuse of funds amounting to AED 1000 per month (approx.)</w:t>
      </w:r>
    </w:p>
    <w:p w:rsidR="00974F7E" w:rsidRPr="00405671" w:rsidRDefault="00974F7E" w:rsidP="00974F7E">
      <w:pPr>
        <w:pStyle w:val="NoSpacing"/>
        <w:rPr>
          <w:rFonts w:ascii="Arial" w:hAnsi="Arial" w:cs="Arial"/>
          <w:b/>
          <w:sz w:val="20"/>
          <w:szCs w:val="20"/>
        </w:rPr>
      </w:pPr>
      <w:r w:rsidRPr="00405671">
        <w:rPr>
          <w:rFonts w:ascii="Arial" w:hAnsi="Arial" w:cs="Arial"/>
          <w:b/>
          <w:sz w:val="20"/>
          <w:szCs w:val="20"/>
        </w:rPr>
        <w:t xml:space="preserve">For Fixed Assets: </w:t>
      </w:r>
    </w:p>
    <w:p w:rsidR="00974F7E" w:rsidRPr="00666A67" w:rsidRDefault="00974F7E" w:rsidP="00974F7E">
      <w:pPr>
        <w:pStyle w:val="NoSpacing"/>
        <w:numPr>
          <w:ilvl w:val="0"/>
          <w:numId w:val="7"/>
        </w:numPr>
        <w:rPr>
          <w:rFonts w:ascii="Arial" w:hAnsi="Arial" w:cs="Arial"/>
          <w:sz w:val="20"/>
          <w:szCs w:val="20"/>
        </w:rPr>
      </w:pPr>
      <w:r w:rsidRPr="00666A67">
        <w:rPr>
          <w:rFonts w:ascii="Arial" w:hAnsi="Arial" w:cs="Arial"/>
          <w:sz w:val="20"/>
          <w:szCs w:val="20"/>
        </w:rPr>
        <w:t>Streamlined Asset under Construction (AUC) Trace &amp; Escalation process which includes review of proper timing of inactivity trace</w:t>
      </w:r>
    </w:p>
    <w:p w:rsidR="00974F7E" w:rsidRPr="00666A67" w:rsidRDefault="00974F7E" w:rsidP="00974F7E">
      <w:pPr>
        <w:pStyle w:val="NoSpacing"/>
        <w:numPr>
          <w:ilvl w:val="0"/>
          <w:numId w:val="7"/>
        </w:numPr>
        <w:rPr>
          <w:rFonts w:ascii="Arial" w:hAnsi="Arial" w:cs="Arial"/>
          <w:sz w:val="20"/>
          <w:szCs w:val="20"/>
        </w:rPr>
      </w:pPr>
      <w:r w:rsidRPr="00666A67">
        <w:rPr>
          <w:rFonts w:ascii="Arial" w:hAnsi="Arial" w:cs="Arial"/>
          <w:sz w:val="20"/>
          <w:szCs w:val="20"/>
        </w:rPr>
        <w:t>Implemented Filing, Retention and Archiving of Fixed Assets Forms (e.g., project creation, asset capitalization/project closure, assets retirements, etc. for better audit trail and easy retrieval)</w:t>
      </w:r>
    </w:p>
    <w:p w:rsidR="00974F7E" w:rsidRPr="00666A67" w:rsidRDefault="00974F7E" w:rsidP="00974F7E">
      <w:pPr>
        <w:pStyle w:val="NoSpacing"/>
        <w:numPr>
          <w:ilvl w:val="0"/>
          <w:numId w:val="7"/>
        </w:numPr>
        <w:rPr>
          <w:rFonts w:ascii="Arial" w:hAnsi="Arial" w:cs="Arial"/>
          <w:sz w:val="20"/>
          <w:szCs w:val="20"/>
        </w:rPr>
      </w:pPr>
      <w:r w:rsidRPr="00666A67">
        <w:rPr>
          <w:rFonts w:ascii="Arial" w:hAnsi="Arial" w:cs="Arial"/>
          <w:sz w:val="20"/>
          <w:szCs w:val="20"/>
        </w:rPr>
        <w:t>Implemented paperless reconciliation and standardization of all Asia Pacific Month-End-Close (MEC) process across all desks.</w:t>
      </w:r>
    </w:p>
    <w:p w:rsidR="00974F7E" w:rsidRPr="00666A67" w:rsidRDefault="00974F7E" w:rsidP="00974F7E">
      <w:pPr>
        <w:pStyle w:val="NoSpacing"/>
        <w:numPr>
          <w:ilvl w:val="0"/>
          <w:numId w:val="7"/>
        </w:numPr>
        <w:rPr>
          <w:rFonts w:ascii="Arial" w:hAnsi="Arial" w:cs="Arial"/>
          <w:sz w:val="20"/>
          <w:szCs w:val="20"/>
        </w:rPr>
      </w:pPr>
      <w:r w:rsidRPr="00666A67">
        <w:rPr>
          <w:rFonts w:ascii="Arial" w:hAnsi="Arial" w:cs="Arial"/>
          <w:sz w:val="20"/>
          <w:szCs w:val="20"/>
        </w:rPr>
        <w:t>Conducted alignment of Useful Life on Corporate and Statutory Depreciation Areas for various Asia Pacific countries to ensure compliance with the audit requirements of each country.</w:t>
      </w:r>
    </w:p>
    <w:p w:rsidR="00974F7E" w:rsidRPr="00405671" w:rsidRDefault="00974F7E" w:rsidP="00974F7E">
      <w:pPr>
        <w:pStyle w:val="NoSpacing"/>
        <w:rPr>
          <w:rFonts w:ascii="Arial" w:hAnsi="Arial" w:cs="Arial"/>
          <w:b/>
          <w:sz w:val="20"/>
          <w:szCs w:val="20"/>
        </w:rPr>
      </w:pPr>
      <w:r w:rsidRPr="00405671">
        <w:rPr>
          <w:rFonts w:ascii="Arial" w:hAnsi="Arial" w:cs="Arial"/>
          <w:b/>
          <w:sz w:val="20"/>
          <w:szCs w:val="20"/>
        </w:rPr>
        <w:t>For Accounts Payable:</w:t>
      </w:r>
    </w:p>
    <w:p w:rsidR="00974F7E" w:rsidRPr="00666A67" w:rsidRDefault="00974F7E" w:rsidP="00974F7E">
      <w:pPr>
        <w:pStyle w:val="NoSpacing"/>
        <w:numPr>
          <w:ilvl w:val="0"/>
          <w:numId w:val="8"/>
        </w:numPr>
        <w:rPr>
          <w:rFonts w:ascii="Arial" w:hAnsi="Arial" w:cs="Arial"/>
          <w:sz w:val="20"/>
          <w:szCs w:val="20"/>
        </w:rPr>
      </w:pPr>
      <w:r w:rsidRPr="00666A67">
        <w:rPr>
          <w:rFonts w:ascii="Arial" w:hAnsi="Arial" w:cs="Arial"/>
          <w:sz w:val="20"/>
          <w:szCs w:val="20"/>
        </w:rPr>
        <w:t>Automation of:</w:t>
      </w:r>
    </w:p>
    <w:p w:rsidR="00974F7E" w:rsidRPr="00666A67" w:rsidRDefault="00974F7E" w:rsidP="00974F7E">
      <w:pPr>
        <w:pStyle w:val="NoSpacing"/>
        <w:numPr>
          <w:ilvl w:val="0"/>
          <w:numId w:val="6"/>
        </w:numPr>
        <w:rPr>
          <w:rFonts w:ascii="Arial" w:hAnsi="Arial" w:cs="Arial"/>
          <w:sz w:val="20"/>
          <w:szCs w:val="20"/>
        </w:rPr>
      </w:pPr>
      <w:r w:rsidRPr="00666A67">
        <w:rPr>
          <w:rFonts w:ascii="Arial" w:hAnsi="Arial" w:cs="Arial"/>
          <w:sz w:val="20"/>
          <w:szCs w:val="20"/>
        </w:rPr>
        <w:t>Chevron Invoice Payments Status (CIPS) system for Asia Pacific Regions to centralize all vendor inquiries</w:t>
      </w:r>
    </w:p>
    <w:p w:rsidR="00974F7E" w:rsidRPr="00666A67" w:rsidRDefault="00974F7E" w:rsidP="00974F7E">
      <w:pPr>
        <w:pStyle w:val="NoSpacing"/>
        <w:numPr>
          <w:ilvl w:val="0"/>
          <w:numId w:val="6"/>
        </w:numPr>
        <w:rPr>
          <w:rFonts w:ascii="Arial" w:hAnsi="Arial" w:cs="Arial"/>
          <w:sz w:val="20"/>
          <w:szCs w:val="20"/>
        </w:rPr>
      </w:pPr>
      <w:r w:rsidRPr="00666A67">
        <w:rPr>
          <w:rFonts w:ascii="Arial" w:hAnsi="Arial" w:cs="Arial"/>
          <w:sz w:val="20"/>
          <w:szCs w:val="20"/>
        </w:rPr>
        <w:t>SAP documents clearance required before month-end.</w:t>
      </w:r>
    </w:p>
    <w:p w:rsidR="00974F7E" w:rsidRPr="00666A67" w:rsidRDefault="00974F7E" w:rsidP="00974F7E">
      <w:pPr>
        <w:pStyle w:val="NoSpacing"/>
        <w:numPr>
          <w:ilvl w:val="0"/>
          <w:numId w:val="8"/>
        </w:numPr>
        <w:rPr>
          <w:rFonts w:ascii="Arial" w:hAnsi="Arial" w:cs="Arial"/>
          <w:sz w:val="20"/>
          <w:szCs w:val="20"/>
        </w:rPr>
      </w:pPr>
      <w:r w:rsidRPr="00666A67">
        <w:rPr>
          <w:rFonts w:ascii="Arial" w:hAnsi="Arial" w:cs="Arial"/>
          <w:sz w:val="20"/>
          <w:szCs w:val="20"/>
        </w:rPr>
        <w:t>Reduction of Open items for Unmatched Invoices by 30% through clean up and Vendor Statement of Account reconciliation.</w:t>
      </w:r>
    </w:p>
    <w:p w:rsidR="00974F7E" w:rsidRPr="00666A67" w:rsidRDefault="00974F7E" w:rsidP="00974F7E">
      <w:pPr>
        <w:pStyle w:val="NoSpacing"/>
        <w:numPr>
          <w:ilvl w:val="0"/>
          <w:numId w:val="8"/>
        </w:numPr>
        <w:rPr>
          <w:rFonts w:ascii="Arial" w:hAnsi="Arial" w:cs="Arial"/>
          <w:sz w:val="20"/>
          <w:szCs w:val="20"/>
        </w:rPr>
      </w:pPr>
      <w:r w:rsidRPr="00666A67">
        <w:rPr>
          <w:rFonts w:ascii="Arial" w:hAnsi="Arial" w:cs="Arial"/>
          <w:sz w:val="20"/>
          <w:szCs w:val="20"/>
        </w:rPr>
        <w:t xml:space="preserve">Deployment of Envoy V5 system after performing functional testing during the User Acceptance test (UAT) </w:t>
      </w:r>
    </w:p>
    <w:p w:rsidR="00974F7E" w:rsidRDefault="00974F7E" w:rsidP="00974F7E">
      <w:pPr>
        <w:pStyle w:val="NoSpacing"/>
        <w:numPr>
          <w:ilvl w:val="0"/>
          <w:numId w:val="8"/>
        </w:numPr>
        <w:rPr>
          <w:rFonts w:ascii="Arial" w:hAnsi="Arial" w:cs="Arial"/>
          <w:sz w:val="20"/>
          <w:szCs w:val="20"/>
        </w:rPr>
      </w:pPr>
      <w:r w:rsidRPr="00666A67">
        <w:rPr>
          <w:rFonts w:ascii="Arial" w:hAnsi="Arial" w:cs="Arial"/>
          <w:sz w:val="20"/>
          <w:szCs w:val="20"/>
        </w:rPr>
        <w:t>Served as a critical processor handling payments processing during activation of the Business Continuity Plan (BCP) to ensure continuity of payments despite operational disruptions caused by accidents, natural calamities, or problems on IT systems and infrastructure.</w:t>
      </w:r>
    </w:p>
    <w:p w:rsidR="00974F7E" w:rsidRDefault="00974F7E" w:rsidP="00974F7E">
      <w:pPr>
        <w:pStyle w:val="NoSpacing"/>
        <w:jc w:val="both"/>
        <w:rPr>
          <w:rFonts w:ascii="Arial" w:hAnsi="Arial" w:cs="Arial"/>
          <w:sz w:val="20"/>
          <w:szCs w:val="20"/>
        </w:rPr>
      </w:pPr>
    </w:p>
    <w:p w:rsidR="00974F7E" w:rsidRPr="00666A67" w:rsidRDefault="00974F7E" w:rsidP="00974F7E">
      <w:pPr>
        <w:pStyle w:val="NoSpacing"/>
        <w:rPr>
          <w:rFonts w:ascii="Arial" w:hAnsi="Arial" w:cs="Arial"/>
          <w:b/>
          <w:color w:val="1F497D" w:themeColor="text2"/>
          <w:sz w:val="20"/>
          <w:szCs w:val="20"/>
        </w:rPr>
      </w:pPr>
      <w:r>
        <w:rPr>
          <w:rFonts w:ascii="Arial" w:hAnsi="Arial" w:cs="Arial"/>
          <w:b/>
          <w:color w:val="1F497D" w:themeColor="text2"/>
          <w:sz w:val="20"/>
          <w:szCs w:val="20"/>
        </w:rPr>
        <w:t>E</w:t>
      </w:r>
      <w:r w:rsidRPr="00666A67">
        <w:rPr>
          <w:rFonts w:ascii="Arial" w:hAnsi="Arial" w:cs="Arial"/>
          <w:b/>
          <w:color w:val="1F497D" w:themeColor="text2"/>
          <w:sz w:val="20"/>
          <w:szCs w:val="20"/>
        </w:rPr>
        <w:t>DUCATION</w:t>
      </w:r>
    </w:p>
    <w:p w:rsidR="00974F7E" w:rsidRPr="00666A67" w:rsidRDefault="00974F7E" w:rsidP="00974F7E">
      <w:pPr>
        <w:pStyle w:val="NoSpacing"/>
        <w:rPr>
          <w:rFonts w:ascii="Arial" w:hAnsi="Arial" w:cs="Arial"/>
          <w:b/>
          <w:sz w:val="20"/>
          <w:szCs w:val="20"/>
        </w:rPr>
      </w:pPr>
      <w:r w:rsidRPr="00666A67">
        <w:rPr>
          <w:rFonts w:ascii="Arial" w:hAnsi="Arial" w:cs="Arial"/>
          <w:b/>
          <w:sz w:val="20"/>
          <w:szCs w:val="20"/>
        </w:rPr>
        <w:t>Bachelor of Science in Accountancy</w:t>
      </w:r>
    </w:p>
    <w:p w:rsidR="00974F7E" w:rsidRPr="00666A67" w:rsidRDefault="00974F7E" w:rsidP="00974F7E">
      <w:pPr>
        <w:pStyle w:val="NoSpacing"/>
        <w:rPr>
          <w:rFonts w:ascii="Arial" w:hAnsi="Arial" w:cs="Arial"/>
          <w:sz w:val="20"/>
          <w:szCs w:val="20"/>
        </w:rPr>
      </w:pPr>
      <w:r w:rsidRPr="00666A67">
        <w:rPr>
          <w:rFonts w:ascii="Arial" w:hAnsi="Arial" w:cs="Arial"/>
          <w:sz w:val="20"/>
          <w:szCs w:val="20"/>
        </w:rPr>
        <w:t>College of St John – De La Salle Supervised, Philippines (April 2007)</w:t>
      </w:r>
    </w:p>
    <w:p w:rsidR="00974F7E" w:rsidRPr="00666A67" w:rsidRDefault="00974F7E" w:rsidP="00974F7E">
      <w:pPr>
        <w:pStyle w:val="NoSpacing"/>
        <w:numPr>
          <w:ilvl w:val="0"/>
          <w:numId w:val="9"/>
        </w:numPr>
        <w:rPr>
          <w:rFonts w:ascii="Arial" w:hAnsi="Arial" w:cs="Arial"/>
          <w:sz w:val="20"/>
          <w:szCs w:val="20"/>
        </w:rPr>
      </w:pPr>
      <w:r w:rsidRPr="00666A67">
        <w:rPr>
          <w:rFonts w:ascii="Arial" w:hAnsi="Arial" w:cs="Arial"/>
          <w:sz w:val="20"/>
          <w:szCs w:val="20"/>
        </w:rPr>
        <w:t xml:space="preserve">Consistent scholar - Bro. Arnold </w:t>
      </w:r>
      <w:proofErr w:type="spellStart"/>
      <w:r w:rsidRPr="00666A67">
        <w:rPr>
          <w:rFonts w:ascii="Arial" w:hAnsi="Arial" w:cs="Arial"/>
          <w:sz w:val="20"/>
          <w:szCs w:val="20"/>
        </w:rPr>
        <w:t>Reche</w:t>
      </w:r>
      <w:proofErr w:type="spellEnd"/>
      <w:r w:rsidRPr="00666A67">
        <w:rPr>
          <w:rFonts w:ascii="Arial" w:hAnsi="Arial" w:cs="Arial"/>
          <w:sz w:val="20"/>
          <w:szCs w:val="20"/>
        </w:rPr>
        <w:t xml:space="preserve"> Scholarship</w:t>
      </w:r>
    </w:p>
    <w:p w:rsidR="00974F7E" w:rsidRDefault="00974F7E" w:rsidP="00974F7E">
      <w:pPr>
        <w:pStyle w:val="NoSpacing"/>
        <w:numPr>
          <w:ilvl w:val="0"/>
          <w:numId w:val="9"/>
        </w:numPr>
        <w:rPr>
          <w:rFonts w:ascii="Arial" w:hAnsi="Arial" w:cs="Arial"/>
          <w:sz w:val="20"/>
          <w:szCs w:val="20"/>
        </w:rPr>
      </w:pPr>
      <w:r w:rsidRPr="00666A67">
        <w:rPr>
          <w:rFonts w:ascii="Arial" w:hAnsi="Arial" w:cs="Arial"/>
          <w:sz w:val="20"/>
          <w:szCs w:val="20"/>
        </w:rPr>
        <w:t>Awardee - Best Accounting Software Installation Project</w:t>
      </w:r>
    </w:p>
    <w:p w:rsidR="00956765" w:rsidRDefault="00956765" w:rsidP="00B1392F">
      <w:pPr>
        <w:pStyle w:val="NoSpacing"/>
        <w:rPr>
          <w:rFonts w:ascii="Arial" w:hAnsi="Arial" w:cs="Arial"/>
        </w:rPr>
      </w:pPr>
    </w:p>
    <w:p w:rsidR="00974F7E" w:rsidRDefault="00974F7E" w:rsidP="00B1392F">
      <w:pPr>
        <w:pStyle w:val="NoSpacing"/>
        <w:rPr>
          <w:rFonts w:ascii="Arial" w:hAnsi="Arial" w:cs="Arial"/>
        </w:rPr>
        <w:sectPr w:rsidR="00974F7E" w:rsidSect="00B27F0E">
          <w:type w:val="continuous"/>
          <w:pgSz w:w="12240" w:h="15840"/>
          <w:pgMar w:top="288" w:right="720" w:bottom="288" w:left="288" w:header="720" w:footer="720" w:gutter="0"/>
          <w:pgBorders w:offsetFrom="page">
            <w:bottom w:val="single" w:sz="4" w:space="24" w:color="auto"/>
            <w:right w:val="single" w:sz="4" w:space="24" w:color="auto"/>
          </w:pgBorders>
          <w:cols w:num="2" w:sep="1" w:space="288" w:equalWidth="0">
            <w:col w:w="3360" w:space="288"/>
            <w:col w:w="7584"/>
          </w:cols>
          <w:docGrid w:linePitch="360"/>
        </w:sectPr>
      </w:pPr>
    </w:p>
    <w:p w:rsidR="00974F7E" w:rsidRDefault="00974F7E" w:rsidP="00B1392F">
      <w:pPr>
        <w:pStyle w:val="NoSpacing"/>
        <w:rPr>
          <w:rFonts w:ascii="Arial" w:hAnsi="Arial" w:cs="Arial"/>
        </w:rPr>
      </w:pPr>
    </w:p>
    <w:p w:rsidR="00EC2EC4" w:rsidRDefault="00EC2EC4" w:rsidP="00B1392F">
      <w:pPr>
        <w:pStyle w:val="NoSpacing"/>
        <w:rPr>
          <w:rFonts w:ascii="Arial" w:hAnsi="Arial" w:cs="Arial"/>
        </w:rPr>
        <w:sectPr w:rsidR="00EC2EC4" w:rsidSect="00B27F0E">
          <w:type w:val="continuous"/>
          <w:pgSz w:w="12240" w:h="15840"/>
          <w:pgMar w:top="288" w:right="720" w:bottom="288" w:left="288" w:header="720" w:footer="720" w:gutter="0"/>
          <w:pgBorders w:offsetFrom="page">
            <w:bottom w:val="single" w:sz="4" w:space="24" w:color="auto"/>
            <w:right w:val="single" w:sz="4" w:space="24" w:color="auto"/>
          </w:pgBorders>
          <w:cols w:sep="1" w:space="288"/>
          <w:docGrid w:linePitch="360"/>
        </w:sectPr>
      </w:pPr>
    </w:p>
    <w:p w:rsidR="00974F7E" w:rsidRDefault="00974F7E" w:rsidP="00B1392F">
      <w:pPr>
        <w:pStyle w:val="NoSpacing"/>
        <w:rPr>
          <w:rFonts w:ascii="Arial" w:hAnsi="Arial" w:cs="Arial"/>
        </w:rPr>
      </w:pPr>
    </w:p>
    <w:p w:rsidR="00C43A8D" w:rsidRDefault="00C43A8D" w:rsidP="00C43A8D">
      <w:pPr>
        <w:pStyle w:val="NoSpacing"/>
        <w:pBdr>
          <w:bottom w:val="double" w:sz="6" w:space="1" w:color="auto"/>
        </w:pBdr>
        <w:jc w:val="center"/>
        <w:rPr>
          <w:rFonts w:ascii="Arial" w:hAnsi="Arial" w:cs="Arial"/>
          <w:b/>
          <w:color w:val="17365D" w:themeColor="text2" w:themeShade="BF"/>
          <w:sz w:val="24"/>
          <w:szCs w:val="24"/>
        </w:rPr>
      </w:pPr>
      <w:r w:rsidRPr="00F34BCA">
        <w:rPr>
          <w:rFonts w:ascii="Arial" w:hAnsi="Arial" w:cs="Arial"/>
          <w:b/>
          <w:color w:val="17365D" w:themeColor="text2" w:themeShade="BF"/>
          <w:sz w:val="24"/>
          <w:szCs w:val="24"/>
        </w:rPr>
        <w:t>PROFESSIONAL EXPERIENCE</w:t>
      </w:r>
    </w:p>
    <w:p w:rsidR="00C43A8D" w:rsidRPr="00F34BCA" w:rsidRDefault="00C43A8D" w:rsidP="00C43A8D">
      <w:pPr>
        <w:pStyle w:val="NoSpacing"/>
        <w:jc w:val="center"/>
        <w:rPr>
          <w:rFonts w:ascii="Arial" w:hAnsi="Arial" w:cs="Arial"/>
          <w:b/>
          <w:color w:val="17365D" w:themeColor="text2" w:themeShade="BF"/>
          <w:sz w:val="24"/>
          <w:szCs w:val="24"/>
        </w:rPr>
      </w:pPr>
    </w:p>
    <w:p w:rsidR="00C43A8D" w:rsidRPr="00666A67" w:rsidRDefault="00C43A8D" w:rsidP="00C43A8D">
      <w:pPr>
        <w:pStyle w:val="NoSpacing"/>
        <w:rPr>
          <w:rFonts w:ascii="Arial" w:hAnsi="Arial" w:cs="Arial"/>
          <w:b/>
          <w:color w:val="0F243E" w:themeColor="text2" w:themeShade="80"/>
        </w:rPr>
      </w:pPr>
      <w:r>
        <w:rPr>
          <w:rFonts w:ascii="Arial" w:hAnsi="Arial" w:cs="Arial"/>
          <w:b/>
          <w:color w:val="0F243E" w:themeColor="text2" w:themeShade="80"/>
        </w:rPr>
        <w:t>ALFA Gems DMCC</w:t>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p>
    <w:p w:rsidR="00C43A8D" w:rsidRPr="004538E7" w:rsidRDefault="00C43A8D" w:rsidP="00C43A8D">
      <w:pPr>
        <w:pStyle w:val="NoSpacing"/>
        <w:rPr>
          <w:rFonts w:ascii="Arial" w:hAnsi="Arial" w:cs="Arial"/>
        </w:rPr>
      </w:pPr>
      <w:r w:rsidRPr="00666A67">
        <w:rPr>
          <w:rFonts w:ascii="Arial" w:hAnsi="Arial" w:cs="Arial"/>
          <w:b/>
          <w:color w:val="0F243E" w:themeColor="text2" w:themeShade="80"/>
        </w:rPr>
        <w:t>Jumeirah Lakes Towers, Dubai, UAE</w:t>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sidRPr="00666A67">
        <w:rPr>
          <w:rFonts w:ascii="Arial" w:hAnsi="Arial" w:cs="Arial"/>
          <w:b/>
          <w:color w:val="0F243E" w:themeColor="text2" w:themeShade="80"/>
        </w:rPr>
        <w:tab/>
      </w:r>
      <w:r>
        <w:rPr>
          <w:rFonts w:ascii="Arial" w:hAnsi="Arial" w:cs="Arial"/>
          <w:b/>
          <w:color w:val="0F243E" w:themeColor="text2" w:themeShade="80"/>
        </w:rPr>
        <w:t xml:space="preserve">      </w:t>
      </w:r>
      <w:r w:rsidRPr="004538E7">
        <w:rPr>
          <w:rFonts w:ascii="Arial" w:hAnsi="Arial" w:cs="Arial"/>
          <w:sz w:val="20"/>
          <w:szCs w:val="20"/>
        </w:rPr>
        <w:t>June 29, 2015 to Present</w:t>
      </w:r>
    </w:p>
    <w:p w:rsidR="00C43A8D" w:rsidRPr="00666A67" w:rsidRDefault="00C43A8D" w:rsidP="00C43A8D">
      <w:pPr>
        <w:pStyle w:val="NoSpacing"/>
        <w:rPr>
          <w:rFonts w:ascii="Arial" w:hAnsi="Arial" w:cs="Arial"/>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Accounts Executive</w:t>
      </w:r>
    </w:p>
    <w:p w:rsidR="00C43A8D" w:rsidRPr="00666A67" w:rsidRDefault="00C43A8D" w:rsidP="00C43A8D">
      <w:pPr>
        <w:pStyle w:val="NoSpacing"/>
        <w:numPr>
          <w:ilvl w:val="0"/>
          <w:numId w:val="10"/>
        </w:numPr>
        <w:ind w:left="360"/>
        <w:jc w:val="both"/>
        <w:rPr>
          <w:rFonts w:ascii="Arial" w:hAnsi="Arial" w:cs="Arial"/>
          <w:sz w:val="20"/>
          <w:szCs w:val="20"/>
        </w:rPr>
      </w:pPr>
      <w:r w:rsidRPr="00666A67">
        <w:rPr>
          <w:rFonts w:ascii="Arial" w:hAnsi="Arial" w:cs="Arial"/>
          <w:sz w:val="20"/>
          <w:szCs w:val="20"/>
        </w:rPr>
        <w:t>Provides daily MIS report (Company Cash on Hand, Receivables and Payables) to the Director and Accounting Manager.</w:t>
      </w:r>
    </w:p>
    <w:p w:rsidR="00C43A8D" w:rsidRPr="00666A67" w:rsidRDefault="00C43A8D" w:rsidP="00C43A8D">
      <w:pPr>
        <w:pStyle w:val="NoSpacing"/>
        <w:numPr>
          <w:ilvl w:val="0"/>
          <w:numId w:val="10"/>
        </w:numPr>
        <w:ind w:left="360"/>
        <w:jc w:val="both"/>
        <w:rPr>
          <w:rFonts w:ascii="Arial" w:hAnsi="Arial" w:cs="Arial"/>
          <w:sz w:val="20"/>
          <w:szCs w:val="20"/>
        </w:rPr>
      </w:pPr>
      <w:r w:rsidRPr="00666A67">
        <w:rPr>
          <w:rFonts w:ascii="Arial" w:hAnsi="Arial" w:cs="Arial"/>
          <w:sz w:val="20"/>
          <w:szCs w:val="20"/>
        </w:rPr>
        <w:t xml:space="preserve">Manages Company Petty Cash Fund and strengthened controls by managing the indirect expenses of the company (i.e. Staff Meal, Parking, and Fuel Expenses), which resulted to approx. 1000 AED savings per month. </w:t>
      </w:r>
    </w:p>
    <w:p w:rsidR="00C43A8D" w:rsidRPr="00666A67" w:rsidRDefault="00C43A8D" w:rsidP="00C43A8D">
      <w:pPr>
        <w:pStyle w:val="NoSpacing"/>
        <w:numPr>
          <w:ilvl w:val="0"/>
          <w:numId w:val="10"/>
        </w:numPr>
        <w:ind w:left="360"/>
        <w:jc w:val="both"/>
        <w:rPr>
          <w:rFonts w:ascii="Arial" w:hAnsi="Arial" w:cs="Arial"/>
          <w:sz w:val="20"/>
          <w:szCs w:val="20"/>
        </w:rPr>
      </w:pPr>
      <w:r w:rsidRPr="00666A67">
        <w:rPr>
          <w:rFonts w:ascii="Arial" w:hAnsi="Arial" w:cs="Arial"/>
          <w:sz w:val="20"/>
          <w:szCs w:val="20"/>
        </w:rPr>
        <w:t>Hedges an average of 3 Contracts (equivalent to 300 ounces) per day for every Gold Purchases resulting to a gain of around $500 per week.</w:t>
      </w:r>
    </w:p>
    <w:p w:rsidR="00C43A8D" w:rsidRPr="00666A67" w:rsidRDefault="00C43A8D" w:rsidP="00C43A8D">
      <w:pPr>
        <w:pStyle w:val="NoSpacing"/>
        <w:numPr>
          <w:ilvl w:val="0"/>
          <w:numId w:val="10"/>
        </w:numPr>
        <w:ind w:left="360"/>
        <w:jc w:val="both"/>
        <w:rPr>
          <w:rFonts w:ascii="Arial" w:hAnsi="Arial" w:cs="Arial"/>
          <w:sz w:val="20"/>
          <w:szCs w:val="20"/>
        </w:rPr>
      </w:pPr>
      <w:r w:rsidRPr="00666A67">
        <w:rPr>
          <w:rFonts w:ascii="Arial" w:hAnsi="Arial" w:cs="Arial"/>
          <w:sz w:val="20"/>
          <w:szCs w:val="20"/>
        </w:rPr>
        <w:t>Posts financial entries in Tally for Cash tool that covers bank and main cash Account Receipts and Payments, Petty Cash expenses, Gold Purchases, and Cash Receipts and Payments for South Africa Office</w:t>
      </w:r>
    </w:p>
    <w:p w:rsidR="00C43A8D" w:rsidRPr="00666A67" w:rsidRDefault="00C43A8D" w:rsidP="00C43A8D">
      <w:pPr>
        <w:pStyle w:val="NoSpacing"/>
        <w:numPr>
          <w:ilvl w:val="0"/>
          <w:numId w:val="10"/>
        </w:numPr>
        <w:ind w:left="360"/>
        <w:jc w:val="both"/>
        <w:rPr>
          <w:rFonts w:ascii="Arial" w:hAnsi="Arial" w:cs="Arial"/>
          <w:sz w:val="20"/>
          <w:szCs w:val="20"/>
        </w:rPr>
      </w:pPr>
      <w:r w:rsidRPr="00666A67">
        <w:rPr>
          <w:rFonts w:ascii="Arial" w:hAnsi="Arial" w:cs="Arial"/>
          <w:sz w:val="20"/>
          <w:szCs w:val="20"/>
        </w:rPr>
        <w:t xml:space="preserve">Provides weekly Batch Margin Analysis (Sales and Purchase Analysis) for every batch of gold delivered and sold. </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Administrative Support</w:t>
      </w:r>
    </w:p>
    <w:p w:rsidR="00C43A8D" w:rsidRPr="00666A67" w:rsidRDefault="00C43A8D" w:rsidP="00C43A8D">
      <w:pPr>
        <w:pStyle w:val="NoSpacing"/>
        <w:numPr>
          <w:ilvl w:val="0"/>
          <w:numId w:val="11"/>
        </w:numPr>
        <w:ind w:left="360"/>
        <w:jc w:val="both"/>
        <w:rPr>
          <w:rFonts w:ascii="Arial" w:hAnsi="Arial" w:cs="Arial"/>
          <w:sz w:val="20"/>
          <w:szCs w:val="20"/>
        </w:rPr>
      </w:pPr>
      <w:r w:rsidRPr="00666A67">
        <w:rPr>
          <w:rFonts w:ascii="Arial" w:hAnsi="Arial" w:cs="Arial"/>
          <w:sz w:val="20"/>
          <w:szCs w:val="20"/>
        </w:rPr>
        <w:t xml:space="preserve">Manages the Director’s Property Account by receiving/depositing </w:t>
      </w:r>
      <w:proofErr w:type="spellStart"/>
      <w:r w:rsidRPr="00666A67">
        <w:rPr>
          <w:rFonts w:ascii="Arial" w:hAnsi="Arial" w:cs="Arial"/>
          <w:sz w:val="20"/>
          <w:szCs w:val="20"/>
        </w:rPr>
        <w:t>cheques</w:t>
      </w:r>
      <w:proofErr w:type="spellEnd"/>
      <w:r w:rsidRPr="00666A67">
        <w:rPr>
          <w:rFonts w:ascii="Arial" w:hAnsi="Arial" w:cs="Arial"/>
          <w:sz w:val="20"/>
          <w:szCs w:val="20"/>
        </w:rPr>
        <w:t xml:space="preserve"> received from the tenant to the bank, </w:t>
      </w:r>
      <w:r w:rsidR="009460D9">
        <w:rPr>
          <w:rFonts w:ascii="Arial" w:hAnsi="Arial" w:cs="Arial"/>
          <w:sz w:val="20"/>
          <w:szCs w:val="20"/>
        </w:rPr>
        <w:t xml:space="preserve">organizing property transfer to the Buyer, </w:t>
      </w:r>
      <w:r w:rsidRPr="00666A67">
        <w:rPr>
          <w:rFonts w:ascii="Arial" w:hAnsi="Arial" w:cs="Arial"/>
          <w:sz w:val="20"/>
          <w:szCs w:val="20"/>
        </w:rPr>
        <w:t>and coordinating any repairs and maintenance raised by the tenants.</w:t>
      </w:r>
    </w:p>
    <w:p w:rsidR="00C43A8D" w:rsidRPr="00666A67" w:rsidRDefault="00C43A8D" w:rsidP="00C43A8D">
      <w:pPr>
        <w:pStyle w:val="NoSpacing"/>
        <w:numPr>
          <w:ilvl w:val="0"/>
          <w:numId w:val="11"/>
        </w:numPr>
        <w:ind w:left="360"/>
        <w:jc w:val="both"/>
        <w:rPr>
          <w:rFonts w:ascii="Arial" w:hAnsi="Arial" w:cs="Arial"/>
          <w:sz w:val="20"/>
          <w:szCs w:val="20"/>
        </w:rPr>
      </w:pPr>
      <w:r w:rsidRPr="00666A67">
        <w:rPr>
          <w:rFonts w:ascii="Arial" w:hAnsi="Arial" w:cs="Arial"/>
          <w:sz w:val="20"/>
          <w:szCs w:val="20"/>
        </w:rPr>
        <w:t xml:space="preserve">Manages Fund Transfer and Manager’s </w:t>
      </w:r>
      <w:proofErr w:type="spellStart"/>
      <w:r w:rsidRPr="00666A67">
        <w:rPr>
          <w:rFonts w:ascii="Arial" w:hAnsi="Arial" w:cs="Arial"/>
          <w:sz w:val="20"/>
          <w:szCs w:val="20"/>
        </w:rPr>
        <w:t>Cheque</w:t>
      </w:r>
      <w:proofErr w:type="spellEnd"/>
      <w:r w:rsidRPr="00666A67">
        <w:rPr>
          <w:rFonts w:ascii="Arial" w:hAnsi="Arial" w:cs="Arial"/>
          <w:sz w:val="20"/>
          <w:szCs w:val="20"/>
        </w:rPr>
        <w:t xml:space="preserve"> requests as approved and signed by the Director.</w:t>
      </w:r>
    </w:p>
    <w:p w:rsidR="00C43A8D" w:rsidRPr="00666A67" w:rsidRDefault="00C43A8D" w:rsidP="00C43A8D">
      <w:pPr>
        <w:pStyle w:val="NoSpacing"/>
        <w:numPr>
          <w:ilvl w:val="0"/>
          <w:numId w:val="11"/>
        </w:numPr>
        <w:ind w:left="360"/>
        <w:jc w:val="both"/>
        <w:rPr>
          <w:rFonts w:ascii="Arial" w:hAnsi="Arial" w:cs="Arial"/>
          <w:sz w:val="20"/>
          <w:szCs w:val="20"/>
        </w:rPr>
      </w:pPr>
      <w:r w:rsidRPr="00666A67">
        <w:rPr>
          <w:rFonts w:ascii="Arial" w:hAnsi="Arial" w:cs="Arial"/>
          <w:sz w:val="20"/>
          <w:szCs w:val="20"/>
        </w:rPr>
        <w:t>Performed filing and retention of office documents (Company and Personal Accounts)</w:t>
      </w:r>
    </w:p>
    <w:p w:rsidR="00C43A8D" w:rsidRPr="00666A67" w:rsidRDefault="00C43A8D" w:rsidP="00C43A8D">
      <w:pPr>
        <w:pStyle w:val="NoSpacing"/>
        <w:numPr>
          <w:ilvl w:val="0"/>
          <w:numId w:val="11"/>
        </w:numPr>
        <w:ind w:left="360"/>
        <w:jc w:val="both"/>
        <w:rPr>
          <w:rFonts w:ascii="Arial" w:hAnsi="Arial" w:cs="Arial"/>
          <w:sz w:val="20"/>
          <w:szCs w:val="20"/>
        </w:rPr>
      </w:pPr>
      <w:r w:rsidRPr="00666A67">
        <w:rPr>
          <w:rFonts w:ascii="Arial" w:hAnsi="Arial" w:cs="Arial"/>
          <w:sz w:val="20"/>
          <w:szCs w:val="20"/>
        </w:rPr>
        <w:t>Performs PRO role by coordinating with the government institutions and agencies to facilitate visa requirements of all company employees.</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color w:val="0F243E" w:themeColor="text2" w:themeShade="80"/>
        </w:rPr>
      </w:pPr>
      <w:r w:rsidRPr="00666A67">
        <w:rPr>
          <w:rFonts w:ascii="Arial" w:hAnsi="Arial" w:cs="Arial"/>
          <w:b/>
          <w:color w:val="0F243E" w:themeColor="text2" w:themeShade="80"/>
        </w:rPr>
        <w:t xml:space="preserve">Chevron Holdings Inc. </w:t>
      </w:r>
    </w:p>
    <w:p w:rsidR="00C43A8D" w:rsidRPr="00666A67" w:rsidRDefault="00C43A8D" w:rsidP="00C43A8D">
      <w:pPr>
        <w:pStyle w:val="NoSpacing"/>
        <w:jc w:val="both"/>
        <w:rPr>
          <w:rFonts w:ascii="Arial" w:hAnsi="Arial" w:cs="Arial"/>
          <w:b/>
          <w:color w:val="0F243E" w:themeColor="text2" w:themeShade="80"/>
        </w:rPr>
      </w:pPr>
      <w:r w:rsidRPr="00666A67">
        <w:rPr>
          <w:rFonts w:ascii="Arial" w:hAnsi="Arial" w:cs="Arial"/>
          <w:b/>
          <w:color w:val="0F243E" w:themeColor="text2" w:themeShade="80"/>
        </w:rPr>
        <w:t>Finance Shared Services Center</w:t>
      </w:r>
    </w:p>
    <w:p w:rsidR="00C43A8D" w:rsidRPr="00666A67" w:rsidRDefault="00C43A8D" w:rsidP="00C43A8D">
      <w:pPr>
        <w:pStyle w:val="NoSpacing"/>
        <w:jc w:val="both"/>
        <w:rPr>
          <w:rFonts w:ascii="Arial" w:hAnsi="Arial" w:cs="Arial"/>
          <w:b/>
          <w:color w:val="0F243E" w:themeColor="text2" w:themeShade="80"/>
        </w:rPr>
      </w:pPr>
      <w:r w:rsidRPr="00666A67">
        <w:rPr>
          <w:rFonts w:ascii="Arial" w:hAnsi="Arial" w:cs="Arial"/>
          <w:b/>
          <w:color w:val="0F243E" w:themeColor="text2" w:themeShade="80"/>
        </w:rPr>
        <w:t>Makati, Philippines</w:t>
      </w:r>
    </w:p>
    <w:p w:rsidR="00C43A8D" w:rsidRPr="00666A67" w:rsidRDefault="00C43A8D" w:rsidP="00C43A8D">
      <w:pPr>
        <w:pStyle w:val="NoSpacing"/>
        <w:jc w:val="both"/>
        <w:rPr>
          <w:rFonts w:ascii="Arial" w:hAnsi="Arial" w:cs="Arial"/>
          <w:color w:val="0F243E" w:themeColor="text2" w:themeShade="80"/>
        </w:rPr>
      </w:pPr>
    </w:p>
    <w:p w:rsidR="00C43A8D" w:rsidRPr="00666A67" w:rsidRDefault="00C43A8D" w:rsidP="00C43A8D">
      <w:pPr>
        <w:pStyle w:val="NoSpacing"/>
        <w:jc w:val="both"/>
        <w:rPr>
          <w:rFonts w:ascii="Arial" w:hAnsi="Arial" w:cs="Arial"/>
          <w:sz w:val="20"/>
          <w:szCs w:val="20"/>
        </w:rPr>
      </w:pPr>
      <w:r w:rsidRPr="00666A67">
        <w:rPr>
          <w:rFonts w:ascii="Arial" w:hAnsi="Arial" w:cs="Arial"/>
          <w:b/>
          <w:sz w:val="20"/>
          <w:szCs w:val="20"/>
        </w:rPr>
        <w:t>Finance Analyst – Projects and Fixed Assets Accounting</w:t>
      </w:r>
      <w:r w:rsidRPr="00666A67">
        <w:rPr>
          <w:rFonts w:ascii="Arial" w:hAnsi="Arial" w:cs="Arial"/>
          <w:sz w:val="20"/>
          <w:szCs w:val="20"/>
        </w:rPr>
        <w:tab/>
      </w:r>
      <w:r w:rsidRPr="00666A67">
        <w:rPr>
          <w:rFonts w:ascii="Arial" w:hAnsi="Arial" w:cs="Arial"/>
          <w:sz w:val="20"/>
          <w:szCs w:val="20"/>
        </w:rPr>
        <w:tab/>
      </w:r>
      <w:r>
        <w:rPr>
          <w:rFonts w:ascii="Arial" w:hAnsi="Arial" w:cs="Arial"/>
          <w:sz w:val="20"/>
          <w:szCs w:val="20"/>
        </w:rPr>
        <w:tab/>
      </w:r>
      <w:r>
        <w:rPr>
          <w:rFonts w:ascii="Arial" w:hAnsi="Arial" w:cs="Arial"/>
          <w:sz w:val="20"/>
          <w:szCs w:val="20"/>
        </w:rPr>
        <w:tab/>
      </w:r>
      <w:r w:rsidRPr="00666A67">
        <w:rPr>
          <w:rFonts w:ascii="Arial" w:hAnsi="Arial" w:cs="Arial"/>
          <w:sz w:val="20"/>
          <w:szCs w:val="20"/>
        </w:rPr>
        <w:t>August 1, 2013 - May 31, 2015</w:t>
      </w:r>
    </w:p>
    <w:p w:rsidR="00C43A8D" w:rsidRPr="00666A67" w:rsidRDefault="00C43A8D" w:rsidP="00C43A8D">
      <w:pPr>
        <w:pStyle w:val="NoSpacing"/>
        <w:jc w:val="both"/>
        <w:rPr>
          <w:rFonts w:ascii="Arial" w:hAnsi="Arial" w:cs="Arial"/>
          <w:sz w:val="20"/>
          <w:szCs w:val="20"/>
        </w:rPr>
      </w:pPr>
      <w:r w:rsidRPr="00666A67">
        <w:rPr>
          <w:rFonts w:ascii="Arial" w:hAnsi="Arial" w:cs="Arial"/>
          <w:sz w:val="20"/>
          <w:szCs w:val="20"/>
        </w:rPr>
        <w:t>Financial Accounting &amp; Reporting Team (Asia Pacific and North America Regions)</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Project Support and Maintenance</w:t>
      </w:r>
    </w:p>
    <w:p w:rsidR="00C43A8D" w:rsidRPr="00666A67" w:rsidRDefault="00C43A8D" w:rsidP="00C43A8D">
      <w:pPr>
        <w:pStyle w:val="NoSpacing"/>
        <w:numPr>
          <w:ilvl w:val="0"/>
          <w:numId w:val="12"/>
        </w:numPr>
        <w:jc w:val="both"/>
        <w:rPr>
          <w:rFonts w:ascii="Arial" w:hAnsi="Arial" w:cs="Arial"/>
          <w:sz w:val="20"/>
          <w:szCs w:val="20"/>
        </w:rPr>
      </w:pPr>
      <w:r w:rsidRPr="00666A67">
        <w:rPr>
          <w:rFonts w:ascii="Arial" w:hAnsi="Arial" w:cs="Arial"/>
          <w:sz w:val="20"/>
          <w:szCs w:val="20"/>
        </w:rPr>
        <w:t>Handled an average of 100 project-creation requests monthly which include setting up of project master data in SAP, providing guidance in the set-up of projects, and monitoring of project status</w:t>
      </w:r>
    </w:p>
    <w:p w:rsidR="00C43A8D" w:rsidRPr="00666A67" w:rsidRDefault="00C43A8D" w:rsidP="00C43A8D">
      <w:pPr>
        <w:pStyle w:val="NoSpacing"/>
        <w:numPr>
          <w:ilvl w:val="0"/>
          <w:numId w:val="12"/>
        </w:numPr>
        <w:jc w:val="both"/>
        <w:rPr>
          <w:rFonts w:ascii="Arial" w:hAnsi="Arial" w:cs="Arial"/>
          <w:sz w:val="20"/>
          <w:szCs w:val="20"/>
        </w:rPr>
      </w:pPr>
      <w:r w:rsidRPr="00666A67">
        <w:rPr>
          <w:rFonts w:ascii="Arial" w:hAnsi="Arial" w:cs="Arial"/>
          <w:sz w:val="20"/>
          <w:szCs w:val="20"/>
        </w:rPr>
        <w:t>Monitored monthly project settlements and resolved any issues identified.</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Fixed Assets Accounting and Assets Ledgers Maintenance</w:t>
      </w:r>
    </w:p>
    <w:p w:rsidR="00C43A8D" w:rsidRPr="00666A67" w:rsidRDefault="00C43A8D" w:rsidP="00C43A8D">
      <w:pPr>
        <w:pStyle w:val="NoSpacing"/>
        <w:numPr>
          <w:ilvl w:val="0"/>
          <w:numId w:val="13"/>
        </w:numPr>
        <w:jc w:val="both"/>
        <w:rPr>
          <w:rFonts w:ascii="Arial" w:hAnsi="Arial" w:cs="Arial"/>
          <w:sz w:val="20"/>
          <w:szCs w:val="20"/>
        </w:rPr>
      </w:pPr>
      <w:r w:rsidRPr="00666A67">
        <w:rPr>
          <w:rFonts w:ascii="Arial" w:hAnsi="Arial" w:cs="Arial"/>
          <w:sz w:val="20"/>
          <w:szCs w:val="20"/>
        </w:rPr>
        <w:t>Recorded asset depreciation on time which resulted to accurate financial report by reconciling Fixed Assets of the company through monthly monitoring the Assets Under Construction (AUC) using Trace and Escalation, and processing capitalization to fixed assets</w:t>
      </w:r>
    </w:p>
    <w:p w:rsidR="00C43A8D" w:rsidRPr="00666A67" w:rsidRDefault="00C43A8D" w:rsidP="00C43A8D">
      <w:pPr>
        <w:pStyle w:val="NoSpacing"/>
        <w:numPr>
          <w:ilvl w:val="0"/>
          <w:numId w:val="13"/>
        </w:numPr>
        <w:jc w:val="both"/>
        <w:rPr>
          <w:rFonts w:ascii="Arial" w:hAnsi="Arial" w:cs="Arial"/>
          <w:sz w:val="20"/>
          <w:szCs w:val="20"/>
        </w:rPr>
      </w:pPr>
      <w:r w:rsidRPr="00666A67">
        <w:rPr>
          <w:rFonts w:ascii="Arial" w:hAnsi="Arial" w:cs="Arial"/>
          <w:sz w:val="20"/>
          <w:szCs w:val="20"/>
        </w:rPr>
        <w:t>Processed an average of 30 Fixed Assets per month for sales, retirements, and intercompany and intra-company transfers</w:t>
      </w:r>
    </w:p>
    <w:p w:rsidR="00C43A8D" w:rsidRPr="00666A67" w:rsidRDefault="00C43A8D" w:rsidP="00C43A8D">
      <w:pPr>
        <w:pStyle w:val="NoSpacing"/>
        <w:numPr>
          <w:ilvl w:val="0"/>
          <w:numId w:val="13"/>
        </w:numPr>
        <w:jc w:val="both"/>
        <w:rPr>
          <w:rFonts w:ascii="Arial" w:hAnsi="Arial" w:cs="Arial"/>
          <w:sz w:val="20"/>
          <w:szCs w:val="20"/>
        </w:rPr>
      </w:pPr>
      <w:r w:rsidRPr="00666A67">
        <w:rPr>
          <w:rFonts w:ascii="Arial" w:hAnsi="Arial" w:cs="Arial"/>
          <w:sz w:val="20"/>
          <w:szCs w:val="20"/>
        </w:rPr>
        <w:t>Performed monthly closing activities for the Asset Management module, including depreciation accounting and reporting</w:t>
      </w:r>
    </w:p>
    <w:p w:rsidR="00C43A8D" w:rsidRPr="00666A67" w:rsidRDefault="00C43A8D" w:rsidP="00C43A8D">
      <w:pPr>
        <w:pStyle w:val="NoSpacing"/>
        <w:numPr>
          <w:ilvl w:val="0"/>
          <w:numId w:val="13"/>
        </w:numPr>
        <w:jc w:val="both"/>
        <w:rPr>
          <w:rFonts w:ascii="Arial" w:hAnsi="Arial" w:cs="Arial"/>
          <w:sz w:val="20"/>
          <w:szCs w:val="20"/>
        </w:rPr>
      </w:pPr>
      <w:r w:rsidRPr="00666A67">
        <w:rPr>
          <w:rFonts w:ascii="Arial" w:hAnsi="Arial" w:cs="Arial"/>
          <w:sz w:val="20"/>
          <w:szCs w:val="20"/>
        </w:rPr>
        <w:t>Conducted monthly Tax Credit Qualification review &amp;Annual Fixed Asset Verification for Singapore Entity Fixed Assets</w:t>
      </w:r>
    </w:p>
    <w:p w:rsidR="00C43A8D" w:rsidRPr="00666A67" w:rsidRDefault="00C43A8D" w:rsidP="00C43A8D">
      <w:pPr>
        <w:pStyle w:val="NoSpacing"/>
        <w:numPr>
          <w:ilvl w:val="0"/>
          <w:numId w:val="13"/>
        </w:numPr>
        <w:jc w:val="both"/>
        <w:rPr>
          <w:rFonts w:ascii="Arial" w:hAnsi="Arial" w:cs="Arial"/>
          <w:sz w:val="20"/>
          <w:szCs w:val="20"/>
        </w:rPr>
      </w:pPr>
      <w:r w:rsidRPr="00666A67">
        <w:rPr>
          <w:rFonts w:ascii="Arial" w:hAnsi="Arial" w:cs="Arial"/>
          <w:sz w:val="20"/>
          <w:szCs w:val="20"/>
        </w:rPr>
        <w:t>Supported audit related activities by providing the required supporting documents, and explaining the process to the Auditors</w:t>
      </w:r>
    </w:p>
    <w:p w:rsidR="00C43A8D" w:rsidRDefault="00C43A8D" w:rsidP="00C43A8D">
      <w:pPr>
        <w:pStyle w:val="NoSpacing"/>
        <w:jc w:val="both"/>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rPr>
          <w:rFonts w:ascii="Arial" w:hAnsi="Arial" w:cs="Arial"/>
          <w:sz w:val="20"/>
          <w:szCs w:val="20"/>
        </w:rPr>
      </w:pPr>
    </w:p>
    <w:p w:rsidR="00C43A8D" w:rsidRDefault="00C43A8D" w:rsidP="00C43A8D">
      <w:pPr>
        <w:pStyle w:val="NoSpacing"/>
        <w:pBdr>
          <w:bottom w:val="double" w:sz="6" w:space="1" w:color="auto"/>
        </w:pBdr>
        <w:rPr>
          <w:rFonts w:ascii="Arial" w:hAnsi="Arial" w:cs="Arial"/>
          <w:sz w:val="20"/>
          <w:szCs w:val="20"/>
        </w:rPr>
      </w:pPr>
    </w:p>
    <w:p w:rsidR="00C43A8D" w:rsidRDefault="00C43A8D" w:rsidP="00C43A8D">
      <w:pPr>
        <w:pStyle w:val="NoSpacing"/>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 xml:space="preserve">Finance Analyst and Accountant – Accounts Payable </w:t>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sz w:val="20"/>
          <w:szCs w:val="20"/>
        </w:rPr>
        <w:t>July 2, 2007 to July 31, 2013</w:t>
      </w:r>
    </w:p>
    <w:p w:rsidR="00C43A8D" w:rsidRPr="00666A67" w:rsidRDefault="00C43A8D" w:rsidP="00C43A8D">
      <w:pPr>
        <w:pStyle w:val="NoSpacing"/>
        <w:jc w:val="both"/>
        <w:rPr>
          <w:rFonts w:ascii="Arial" w:hAnsi="Arial" w:cs="Arial"/>
          <w:sz w:val="20"/>
          <w:szCs w:val="20"/>
        </w:rPr>
      </w:pPr>
      <w:r w:rsidRPr="00666A67">
        <w:rPr>
          <w:rFonts w:ascii="Arial" w:hAnsi="Arial" w:cs="Arial"/>
          <w:sz w:val="20"/>
          <w:szCs w:val="20"/>
        </w:rPr>
        <w:t>(Asia Pacific, UK and NZ Region)</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Payments</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Processed daily payments of all invoices due and payment requests (i.e. 3rd party vendors, government agencies, employees, merchants, and internal customers captured in SAP, as well as manual payment requests through JPM Access.</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Coordinated with the Regional Treasury Center (RTC) in various countries around the world for daily funding requirements.</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Handled monthly booking of General Interbank Recurring Order (GIRO) direct debit payments, manual checks, and payments processed by the RTC in various countries around the world.</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Processed l</w:t>
      </w:r>
      <w:r w:rsidR="003E447C">
        <w:rPr>
          <w:rFonts w:ascii="Arial" w:hAnsi="Arial" w:cs="Arial"/>
          <w:sz w:val="20"/>
          <w:szCs w:val="20"/>
        </w:rPr>
        <w:t xml:space="preserve">ong outstanding unclaimed </w:t>
      </w:r>
      <w:proofErr w:type="spellStart"/>
      <w:proofErr w:type="gramStart"/>
      <w:r w:rsidR="003E447C">
        <w:rPr>
          <w:rFonts w:ascii="Arial" w:hAnsi="Arial" w:cs="Arial"/>
          <w:sz w:val="20"/>
          <w:szCs w:val="20"/>
        </w:rPr>
        <w:t>cheques</w:t>
      </w:r>
      <w:proofErr w:type="spellEnd"/>
      <w:r w:rsidRPr="00666A67">
        <w:rPr>
          <w:rFonts w:ascii="Arial" w:hAnsi="Arial" w:cs="Arial"/>
          <w:sz w:val="20"/>
          <w:szCs w:val="20"/>
        </w:rPr>
        <w:t xml:space="preserve"> ,</w:t>
      </w:r>
      <w:proofErr w:type="gramEnd"/>
      <w:r w:rsidRPr="00666A67">
        <w:rPr>
          <w:rFonts w:ascii="Arial" w:hAnsi="Arial" w:cs="Arial"/>
          <w:sz w:val="20"/>
          <w:szCs w:val="20"/>
        </w:rPr>
        <w:t xml:space="preserve"> payment rejections, cancellations, and other payment instructions. </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Performed monthly Accounts Reconciliation &amp;Duplicate Payment review</w:t>
      </w:r>
    </w:p>
    <w:p w:rsidR="00C43A8D" w:rsidRPr="00666A67" w:rsidRDefault="00C43A8D" w:rsidP="00C43A8D">
      <w:pPr>
        <w:pStyle w:val="NoSpacing"/>
        <w:numPr>
          <w:ilvl w:val="0"/>
          <w:numId w:val="14"/>
        </w:numPr>
        <w:jc w:val="both"/>
        <w:rPr>
          <w:rFonts w:ascii="Arial" w:hAnsi="Arial" w:cs="Arial"/>
          <w:sz w:val="20"/>
          <w:szCs w:val="20"/>
        </w:rPr>
      </w:pPr>
      <w:r w:rsidRPr="00666A67">
        <w:rPr>
          <w:rFonts w:ascii="Arial" w:hAnsi="Arial" w:cs="Arial"/>
          <w:sz w:val="20"/>
          <w:szCs w:val="20"/>
        </w:rPr>
        <w:t>Liaised with the vendors for any payment queries</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Invoice Processing-Retail Stations</w:t>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r w:rsidRPr="00666A67">
        <w:rPr>
          <w:rFonts w:ascii="Arial" w:hAnsi="Arial" w:cs="Arial"/>
          <w:b/>
          <w:sz w:val="20"/>
          <w:szCs w:val="20"/>
        </w:rPr>
        <w:tab/>
      </w:r>
    </w:p>
    <w:p w:rsidR="00C43A8D" w:rsidRPr="00666A67" w:rsidRDefault="00C43A8D" w:rsidP="00C43A8D">
      <w:pPr>
        <w:pStyle w:val="NoSpacing"/>
        <w:numPr>
          <w:ilvl w:val="0"/>
          <w:numId w:val="15"/>
        </w:numPr>
        <w:ind w:left="360"/>
        <w:jc w:val="both"/>
        <w:rPr>
          <w:rFonts w:ascii="Arial" w:hAnsi="Arial" w:cs="Arial"/>
          <w:sz w:val="20"/>
          <w:szCs w:val="20"/>
        </w:rPr>
      </w:pPr>
      <w:r w:rsidRPr="00666A67">
        <w:rPr>
          <w:rFonts w:ascii="Arial" w:hAnsi="Arial" w:cs="Arial"/>
          <w:sz w:val="20"/>
          <w:szCs w:val="20"/>
        </w:rPr>
        <w:t xml:space="preserve">Matched an average of 1,000 vendor invoices of Company-Owned Company-Operated (COCO) stations, per week, using the Direct Store Delivery (DSD) data entered in Envoy system </w:t>
      </w:r>
    </w:p>
    <w:p w:rsidR="00C43A8D" w:rsidRPr="00666A67" w:rsidRDefault="00C43A8D" w:rsidP="00C43A8D">
      <w:pPr>
        <w:pStyle w:val="NoSpacing"/>
        <w:numPr>
          <w:ilvl w:val="0"/>
          <w:numId w:val="15"/>
        </w:numPr>
        <w:ind w:left="360"/>
        <w:jc w:val="both"/>
        <w:rPr>
          <w:rFonts w:ascii="Arial" w:hAnsi="Arial" w:cs="Arial"/>
          <w:sz w:val="20"/>
          <w:szCs w:val="20"/>
        </w:rPr>
      </w:pPr>
      <w:r w:rsidRPr="00666A67">
        <w:rPr>
          <w:rFonts w:ascii="Arial" w:hAnsi="Arial" w:cs="Arial"/>
          <w:sz w:val="20"/>
          <w:szCs w:val="20"/>
        </w:rPr>
        <w:t>Processed matched invoices using Envoy system for SAP upload</w:t>
      </w:r>
    </w:p>
    <w:p w:rsidR="00C43A8D" w:rsidRPr="00666A67" w:rsidRDefault="00C43A8D" w:rsidP="00C43A8D">
      <w:pPr>
        <w:pStyle w:val="NoSpacing"/>
        <w:numPr>
          <w:ilvl w:val="0"/>
          <w:numId w:val="15"/>
        </w:numPr>
        <w:ind w:left="360"/>
        <w:jc w:val="both"/>
        <w:rPr>
          <w:rFonts w:ascii="Arial" w:hAnsi="Arial" w:cs="Arial"/>
          <w:sz w:val="20"/>
          <w:szCs w:val="20"/>
        </w:rPr>
      </w:pPr>
      <w:r w:rsidRPr="00666A67">
        <w:rPr>
          <w:rFonts w:ascii="Arial" w:hAnsi="Arial" w:cs="Arial"/>
          <w:sz w:val="20"/>
          <w:szCs w:val="20"/>
        </w:rPr>
        <w:t>Raised, to the Station Managers, all irregularities or compliance issues noted on the invoices to ensure integrity of data</w:t>
      </w:r>
    </w:p>
    <w:p w:rsidR="00C43A8D" w:rsidRPr="00666A67" w:rsidRDefault="00C43A8D" w:rsidP="00C43A8D">
      <w:pPr>
        <w:pStyle w:val="NoSpacing"/>
        <w:numPr>
          <w:ilvl w:val="0"/>
          <w:numId w:val="15"/>
        </w:numPr>
        <w:ind w:left="360"/>
        <w:jc w:val="both"/>
        <w:rPr>
          <w:rFonts w:ascii="Arial" w:hAnsi="Arial" w:cs="Arial"/>
          <w:sz w:val="20"/>
          <w:szCs w:val="20"/>
        </w:rPr>
      </w:pPr>
      <w:r w:rsidRPr="00666A67">
        <w:rPr>
          <w:rFonts w:ascii="Arial" w:hAnsi="Arial" w:cs="Arial"/>
          <w:sz w:val="20"/>
          <w:szCs w:val="20"/>
        </w:rPr>
        <w:t>Posted accrual and reversal of unmatched DSDs, monthly to update Inventory, Accounts Payable&amp; Value Added Tax balances</w:t>
      </w:r>
    </w:p>
    <w:p w:rsidR="00C43A8D" w:rsidRPr="00666A67" w:rsidRDefault="00C43A8D" w:rsidP="00C43A8D">
      <w:pPr>
        <w:pStyle w:val="NoSpacing"/>
        <w:numPr>
          <w:ilvl w:val="0"/>
          <w:numId w:val="15"/>
        </w:numPr>
        <w:ind w:left="360"/>
        <w:jc w:val="both"/>
        <w:rPr>
          <w:rFonts w:ascii="Arial" w:hAnsi="Arial" w:cs="Arial"/>
          <w:sz w:val="20"/>
          <w:szCs w:val="20"/>
        </w:rPr>
      </w:pPr>
      <w:r w:rsidRPr="00666A67">
        <w:rPr>
          <w:rFonts w:ascii="Arial" w:hAnsi="Arial" w:cs="Arial"/>
          <w:sz w:val="20"/>
          <w:szCs w:val="20"/>
        </w:rPr>
        <w:t>Ensured integrity of financial records by providing Monthly Vendor Reconciliation and Aging Report to the Station Managers for purposes of tracing and escalation of Unmatched Invoices exceeding 30 days.</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sz w:val="20"/>
          <w:szCs w:val="20"/>
        </w:rPr>
      </w:pPr>
      <w:r w:rsidRPr="00666A67">
        <w:rPr>
          <w:rFonts w:ascii="Arial" w:hAnsi="Arial" w:cs="Arial"/>
          <w:b/>
          <w:sz w:val="20"/>
          <w:szCs w:val="20"/>
        </w:rPr>
        <w:t>Special Services</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Performed Credit Card matching process on retail stations to prevent fraudulent transactions</w:t>
      </w:r>
      <w:r w:rsidR="001A57D9">
        <w:rPr>
          <w:rFonts w:ascii="Arial" w:hAnsi="Arial" w:cs="Arial"/>
          <w:sz w:val="20"/>
          <w:szCs w:val="20"/>
        </w:rPr>
        <w:t>.</w:t>
      </w: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sz w:val="20"/>
          <w:szCs w:val="20"/>
        </w:rPr>
      </w:pPr>
    </w:p>
    <w:p w:rsidR="00C43A8D" w:rsidRPr="00666A67" w:rsidRDefault="00C43A8D" w:rsidP="00C43A8D">
      <w:pPr>
        <w:pStyle w:val="NoSpacing"/>
        <w:jc w:val="both"/>
        <w:rPr>
          <w:rFonts w:ascii="Arial" w:hAnsi="Arial" w:cs="Arial"/>
          <w:b/>
          <w:color w:val="17365D" w:themeColor="text2" w:themeShade="BF"/>
          <w:sz w:val="20"/>
          <w:szCs w:val="20"/>
        </w:rPr>
      </w:pPr>
      <w:r w:rsidRPr="00666A67">
        <w:rPr>
          <w:rFonts w:ascii="Arial" w:hAnsi="Arial" w:cs="Arial"/>
          <w:b/>
          <w:color w:val="17365D" w:themeColor="text2" w:themeShade="BF"/>
          <w:sz w:val="20"/>
          <w:szCs w:val="20"/>
        </w:rPr>
        <w:t>DEVELOPMENTAL TRAININGS ATTENDED</w:t>
      </w:r>
    </w:p>
    <w:p w:rsidR="00C43A8D" w:rsidRPr="00666A67" w:rsidRDefault="00C43A8D" w:rsidP="00C43A8D">
      <w:pPr>
        <w:pStyle w:val="NoSpacing"/>
        <w:jc w:val="both"/>
        <w:rPr>
          <w:rFonts w:ascii="Arial" w:hAnsi="Arial" w:cs="Arial"/>
          <w:b/>
          <w:sz w:val="20"/>
          <w:szCs w:val="20"/>
        </w:rPr>
      </w:pP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Customer Service Workshop (2009)</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Advance Excel Functions and Macro Recorder (2009)</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ITC LS SAP Financial Processing Overview (2010)</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Business Information Warehouse Basic Navigation - BW100 (2011)</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Business Etiquette Workshop (2011)</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Interaction Skills for Success Workshop (2011)</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Sarbanes Oxley Overview (2010, 2011 &amp; 2012)</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Accounts Reconciliation Training (2010, 2011 &amp; 2012)</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Effective Presentation Skills (2012)</w:t>
      </w:r>
    </w:p>
    <w:p w:rsidR="00C43A8D" w:rsidRPr="00666A67" w:rsidRDefault="00C43A8D" w:rsidP="00C43A8D">
      <w:pPr>
        <w:pStyle w:val="NoSpacing"/>
        <w:numPr>
          <w:ilvl w:val="0"/>
          <w:numId w:val="16"/>
        </w:numPr>
        <w:jc w:val="both"/>
        <w:rPr>
          <w:rFonts w:ascii="Arial" w:hAnsi="Arial" w:cs="Arial"/>
          <w:sz w:val="20"/>
          <w:szCs w:val="20"/>
        </w:rPr>
      </w:pPr>
      <w:r w:rsidRPr="00666A67">
        <w:rPr>
          <w:rFonts w:ascii="Arial" w:hAnsi="Arial" w:cs="Arial"/>
          <w:sz w:val="20"/>
          <w:szCs w:val="20"/>
        </w:rPr>
        <w:t>Professional Business Writing (2012)</w:t>
      </w:r>
    </w:p>
    <w:p w:rsidR="00C43A8D" w:rsidRPr="00666A67" w:rsidRDefault="00C43A8D" w:rsidP="00C43A8D">
      <w:pPr>
        <w:pStyle w:val="NoSpacing"/>
        <w:jc w:val="both"/>
        <w:rPr>
          <w:rFonts w:ascii="Arial" w:hAnsi="Arial" w:cs="Arial"/>
          <w:sz w:val="20"/>
          <w:szCs w:val="20"/>
        </w:rPr>
      </w:pPr>
    </w:p>
    <w:p w:rsidR="00C43A8D" w:rsidRPr="00F34BCA" w:rsidRDefault="00C43A8D" w:rsidP="00C43A8D">
      <w:pPr>
        <w:pStyle w:val="NoSpacing"/>
        <w:jc w:val="both"/>
        <w:rPr>
          <w:rFonts w:ascii="Arial" w:hAnsi="Arial" w:cs="Arial"/>
          <w:b/>
        </w:rPr>
      </w:pPr>
    </w:p>
    <w:p w:rsidR="00C43A8D" w:rsidRPr="00F34BCA" w:rsidRDefault="00C43A8D" w:rsidP="00C43A8D">
      <w:pPr>
        <w:pStyle w:val="NoSpacing"/>
        <w:jc w:val="both"/>
        <w:rPr>
          <w:rFonts w:ascii="Arial" w:hAnsi="Arial" w:cs="Arial"/>
          <w:b/>
          <w:color w:val="17365D" w:themeColor="text2" w:themeShade="BF"/>
          <w:sz w:val="20"/>
          <w:szCs w:val="20"/>
        </w:rPr>
      </w:pPr>
      <w:r w:rsidRPr="00F34BCA">
        <w:rPr>
          <w:rFonts w:ascii="Arial" w:hAnsi="Arial" w:cs="Arial"/>
          <w:b/>
          <w:color w:val="17365D" w:themeColor="text2" w:themeShade="BF"/>
          <w:sz w:val="20"/>
          <w:szCs w:val="20"/>
        </w:rPr>
        <w:t>EMPLOYEE NETWORK GROUP</w:t>
      </w:r>
    </w:p>
    <w:p w:rsidR="00C43A8D" w:rsidRPr="00F34BCA" w:rsidRDefault="00C43A8D" w:rsidP="00C43A8D">
      <w:pPr>
        <w:pStyle w:val="NoSpacing"/>
        <w:jc w:val="both"/>
        <w:rPr>
          <w:rFonts w:ascii="Arial" w:hAnsi="Arial" w:cs="Arial"/>
          <w:b/>
        </w:rPr>
      </w:pPr>
    </w:p>
    <w:p w:rsidR="00C43A8D" w:rsidRPr="00F34BCA" w:rsidRDefault="00C43A8D" w:rsidP="00C43A8D">
      <w:pPr>
        <w:pStyle w:val="NoSpacing"/>
        <w:numPr>
          <w:ilvl w:val="0"/>
          <w:numId w:val="17"/>
        </w:numPr>
        <w:jc w:val="both"/>
        <w:rPr>
          <w:rFonts w:ascii="Arial" w:hAnsi="Arial" w:cs="Arial"/>
          <w:sz w:val="20"/>
          <w:szCs w:val="20"/>
        </w:rPr>
      </w:pPr>
      <w:r w:rsidRPr="00F34BCA">
        <w:rPr>
          <w:rFonts w:ascii="Arial" w:hAnsi="Arial" w:cs="Arial"/>
          <w:sz w:val="20"/>
          <w:szCs w:val="20"/>
        </w:rPr>
        <w:t>Chevron MSSC Chorale</w:t>
      </w:r>
    </w:p>
    <w:p w:rsidR="00974F7E" w:rsidRDefault="00974F7E" w:rsidP="00B1392F">
      <w:pPr>
        <w:pStyle w:val="NoSpacing"/>
        <w:rPr>
          <w:rFonts w:ascii="Arial" w:hAnsi="Arial" w:cs="Arial"/>
        </w:rPr>
        <w:sectPr w:rsidR="00974F7E" w:rsidSect="00B27F0E">
          <w:type w:val="continuous"/>
          <w:pgSz w:w="12240" w:h="15840"/>
          <w:pgMar w:top="288" w:right="720" w:bottom="288" w:left="576" w:header="720" w:footer="720" w:gutter="0"/>
          <w:pgBorders w:offsetFrom="page">
            <w:bottom w:val="single" w:sz="4" w:space="24" w:color="auto"/>
            <w:right w:val="single" w:sz="4" w:space="24" w:color="auto"/>
          </w:pgBorders>
          <w:cols w:sep="1" w:space="288"/>
          <w:docGrid w:linePitch="360"/>
        </w:sectPr>
      </w:pPr>
    </w:p>
    <w:p w:rsidR="00622594" w:rsidRDefault="00622594" w:rsidP="00B1392F">
      <w:pPr>
        <w:pStyle w:val="NoSpacing"/>
        <w:rPr>
          <w:rFonts w:ascii="Arial" w:hAnsi="Arial" w:cs="Arial"/>
        </w:rPr>
        <w:sectPr w:rsidR="00622594" w:rsidSect="00B27F0E">
          <w:type w:val="continuous"/>
          <w:pgSz w:w="12240" w:h="15840"/>
          <w:pgMar w:top="288" w:right="720" w:bottom="288" w:left="576" w:header="720" w:footer="720" w:gutter="0"/>
          <w:pgBorders w:offsetFrom="page">
            <w:bottom w:val="single" w:sz="4" w:space="24" w:color="auto"/>
            <w:right w:val="single" w:sz="4" w:space="24" w:color="auto"/>
          </w:pgBorders>
          <w:cols w:sep="1" w:space="288"/>
          <w:docGrid w:linePitch="360"/>
        </w:sectPr>
      </w:pPr>
    </w:p>
    <w:p w:rsidR="00D27E84" w:rsidRDefault="00D27E84" w:rsidP="00B1392F">
      <w:pPr>
        <w:pStyle w:val="NoSpacing"/>
        <w:rPr>
          <w:rFonts w:ascii="Arial" w:hAnsi="Arial" w:cs="Arial"/>
        </w:rPr>
      </w:pPr>
    </w:p>
    <w:p w:rsidR="00D27E84" w:rsidRDefault="00D27E84" w:rsidP="00B1392F">
      <w:pPr>
        <w:pStyle w:val="NoSpacing"/>
        <w:rPr>
          <w:rFonts w:ascii="Arial" w:hAnsi="Arial" w:cs="Arial"/>
        </w:rPr>
        <w:sectPr w:rsidR="00D27E84" w:rsidSect="00B27F0E">
          <w:type w:val="continuous"/>
          <w:pgSz w:w="12240" w:h="15840"/>
          <w:pgMar w:top="288" w:right="720" w:bottom="288" w:left="576" w:header="720" w:footer="720" w:gutter="0"/>
          <w:pgBorders w:offsetFrom="page">
            <w:bottom w:val="single" w:sz="4" w:space="24" w:color="auto"/>
            <w:right w:val="single" w:sz="4" w:space="24" w:color="auto"/>
          </w:pgBorders>
          <w:cols w:sep="1" w:space="288"/>
          <w:docGrid w:linePitch="360"/>
        </w:sectPr>
      </w:pPr>
    </w:p>
    <w:p w:rsidR="00D27E84" w:rsidRPr="009A1736" w:rsidRDefault="00D27E84" w:rsidP="00FC7F6B">
      <w:pPr>
        <w:pStyle w:val="NoSpacing"/>
        <w:rPr>
          <w:rFonts w:ascii="Arial" w:hAnsi="Arial" w:cs="Arial"/>
        </w:rPr>
      </w:pPr>
    </w:p>
    <w:sectPr w:rsidR="00D27E84" w:rsidRPr="009A1736" w:rsidSect="00B27F0E">
      <w:type w:val="continuous"/>
      <w:pgSz w:w="12240" w:h="15840"/>
      <w:pgMar w:top="288" w:right="720" w:bottom="288" w:left="576" w:header="720" w:footer="720" w:gutter="0"/>
      <w:pgBorders w:offsetFrom="page">
        <w:bottom w:val="single" w:sz="4" w:space="24" w:color="auto"/>
        <w:right w:val="single" w:sz="4" w:space="24"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10" w:rsidRDefault="00403910" w:rsidP="00EC2EC4">
      <w:pPr>
        <w:spacing w:after="0" w:line="240" w:lineRule="auto"/>
      </w:pPr>
      <w:r>
        <w:separator/>
      </w:r>
    </w:p>
  </w:endnote>
  <w:endnote w:type="continuationSeparator" w:id="0">
    <w:p w:rsidR="00403910" w:rsidRDefault="00403910" w:rsidP="00EC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46344"/>
      <w:docPartObj>
        <w:docPartGallery w:val="Page Numbers (Bottom of Page)"/>
        <w:docPartUnique/>
      </w:docPartObj>
    </w:sdtPr>
    <w:sdtEndPr>
      <w:rPr>
        <w:color w:val="808080" w:themeColor="background1" w:themeShade="80"/>
        <w:spacing w:val="60"/>
      </w:rPr>
    </w:sdtEndPr>
    <w:sdtContent>
      <w:p w:rsidR="00EC2EC4" w:rsidRDefault="00EC2E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3B9B">
          <w:rPr>
            <w:noProof/>
          </w:rPr>
          <w:t>1</w:t>
        </w:r>
        <w:r>
          <w:rPr>
            <w:noProof/>
          </w:rPr>
          <w:fldChar w:fldCharType="end"/>
        </w:r>
        <w:r>
          <w:t xml:space="preserve"> | </w:t>
        </w:r>
        <w:r>
          <w:rPr>
            <w:color w:val="808080" w:themeColor="background1" w:themeShade="80"/>
            <w:spacing w:val="60"/>
          </w:rPr>
          <w:t>Page</w:t>
        </w:r>
      </w:p>
    </w:sdtContent>
  </w:sdt>
  <w:p w:rsidR="00EC2EC4" w:rsidRDefault="00EC2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10" w:rsidRDefault="00403910" w:rsidP="00EC2EC4">
      <w:pPr>
        <w:spacing w:after="0" w:line="240" w:lineRule="auto"/>
      </w:pPr>
      <w:r>
        <w:separator/>
      </w:r>
    </w:p>
  </w:footnote>
  <w:footnote w:type="continuationSeparator" w:id="0">
    <w:p w:rsidR="00403910" w:rsidRDefault="00403910" w:rsidP="00EC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D83"/>
    <w:multiLevelType w:val="hybridMultilevel"/>
    <w:tmpl w:val="178C93CA"/>
    <w:lvl w:ilvl="0" w:tplc="B920AAA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17D0"/>
    <w:multiLevelType w:val="hybridMultilevel"/>
    <w:tmpl w:val="00D0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82B5C"/>
    <w:multiLevelType w:val="hybridMultilevel"/>
    <w:tmpl w:val="14627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8221A"/>
    <w:multiLevelType w:val="hybridMultilevel"/>
    <w:tmpl w:val="D3CC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5078B"/>
    <w:multiLevelType w:val="hybridMultilevel"/>
    <w:tmpl w:val="0EA0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D21D6"/>
    <w:multiLevelType w:val="hybridMultilevel"/>
    <w:tmpl w:val="F31C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125AF1"/>
    <w:multiLevelType w:val="hybridMultilevel"/>
    <w:tmpl w:val="1FF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52745"/>
    <w:multiLevelType w:val="hybridMultilevel"/>
    <w:tmpl w:val="6F36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0C194F"/>
    <w:multiLevelType w:val="hybridMultilevel"/>
    <w:tmpl w:val="4E72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69646D"/>
    <w:multiLevelType w:val="hybridMultilevel"/>
    <w:tmpl w:val="0E6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A02C0"/>
    <w:multiLevelType w:val="hybridMultilevel"/>
    <w:tmpl w:val="3A9E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713822"/>
    <w:multiLevelType w:val="hybridMultilevel"/>
    <w:tmpl w:val="EDA47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C2875"/>
    <w:multiLevelType w:val="hybridMultilevel"/>
    <w:tmpl w:val="BAB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40366"/>
    <w:multiLevelType w:val="hybridMultilevel"/>
    <w:tmpl w:val="34BEE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AE3BC5"/>
    <w:multiLevelType w:val="hybridMultilevel"/>
    <w:tmpl w:val="E0AC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7F5C05"/>
    <w:multiLevelType w:val="hybridMultilevel"/>
    <w:tmpl w:val="AF80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FB1434"/>
    <w:multiLevelType w:val="hybridMultilevel"/>
    <w:tmpl w:val="9C5C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5"/>
  </w:num>
  <w:num w:numId="5">
    <w:abstractNumId w:val="5"/>
  </w:num>
  <w:num w:numId="6">
    <w:abstractNumId w:val="11"/>
  </w:num>
  <w:num w:numId="7">
    <w:abstractNumId w:val="1"/>
  </w:num>
  <w:num w:numId="8">
    <w:abstractNumId w:val="14"/>
  </w:num>
  <w:num w:numId="9">
    <w:abstractNumId w:val="16"/>
  </w:num>
  <w:num w:numId="10">
    <w:abstractNumId w:val="9"/>
  </w:num>
  <w:num w:numId="11">
    <w:abstractNumId w:val="6"/>
  </w:num>
  <w:num w:numId="12">
    <w:abstractNumId w:val="7"/>
  </w:num>
  <w:num w:numId="13">
    <w:abstractNumId w:val="13"/>
  </w:num>
  <w:num w:numId="14">
    <w:abstractNumId w:val="8"/>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36"/>
    <w:rsid w:val="00003823"/>
    <w:rsid w:val="00012266"/>
    <w:rsid w:val="000B144C"/>
    <w:rsid w:val="00143F58"/>
    <w:rsid w:val="001A57D9"/>
    <w:rsid w:val="00372605"/>
    <w:rsid w:val="00390EAB"/>
    <w:rsid w:val="003E447C"/>
    <w:rsid w:val="00403910"/>
    <w:rsid w:val="00440AD1"/>
    <w:rsid w:val="004D33BF"/>
    <w:rsid w:val="005532C8"/>
    <w:rsid w:val="005B79A2"/>
    <w:rsid w:val="005D25A1"/>
    <w:rsid w:val="00611C44"/>
    <w:rsid w:val="00622594"/>
    <w:rsid w:val="00737A09"/>
    <w:rsid w:val="0090408E"/>
    <w:rsid w:val="00910B7C"/>
    <w:rsid w:val="009460D9"/>
    <w:rsid w:val="00956765"/>
    <w:rsid w:val="00974F7E"/>
    <w:rsid w:val="009A0851"/>
    <w:rsid w:val="009A1736"/>
    <w:rsid w:val="009E5A9E"/>
    <w:rsid w:val="00AE1182"/>
    <w:rsid w:val="00B1392F"/>
    <w:rsid w:val="00B27F0E"/>
    <w:rsid w:val="00B619C5"/>
    <w:rsid w:val="00BB574E"/>
    <w:rsid w:val="00C01BBA"/>
    <w:rsid w:val="00C43A8D"/>
    <w:rsid w:val="00CC3B9B"/>
    <w:rsid w:val="00CC4755"/>
    <w:rsid w:val="00D13193"/>
    <w:rsid w:val="00D27E84"/>
    <w:rsid w:val="00D315EF"/>
    <w:rsid w:val="00D750E6"/>
    <w:rsid w:val="00DC30F1"/>
    <w:rsid w:val="00E03999"/>
    <w:rsid w:val="00E41961"/>
    <w:rsid w:val="00EC2EC4"/>
    <w:rsid w:val="00F45021"/>
    <w:rsid w:val="00FC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36"/>
    <w:rPr>
      <w:rFonts w:ascii="Tahoma" w:hAnsi="Tahoma" w:cs="Tahoma"/>
      <w:sz w:val="16"/>
      <w:szCs w:val="16"/>
    </w:rPr>
  </w:style>
  <w:style w:type="paragraph" w:styleId="Quote">
    <w:name w:val="Quote"/>
    <w:basedOn w:val="Normal"/>
    <w:next w:val="Normal"/>
    <w:link w:val="QuoteChar"/>
    <w:uiPriority w:val="29"/>
    <w:qFormat/>
    <w:rsid w:val="009A1736"/>
    <w:rPr>
      <w:rFonts w:eastAsiaTheme="minorEastAsia"/>
      <w:i/>
      <w:iCs/>
      <w:color w:val="000000" w:themeColor="text1"/>
      <w:lang w:eastAsia="ja-JP"/>
    </w:rPr>
  </w:style>
  <w:style w:type="character" w:customStyle="1" w:styleId="QuoteChar">
    <w:name w:val="Quote Char"/>
    <w:basedOn w:val="DefaultParagraphFont"/>
    <w:link w:val="Quote"/>
    <w:uiPriority w:val="29"/>
    <w:rsid w:val="009A1736"/>
    <w:rPr>
      <w:rFonts w:eastAsiaTheme="minorEastAsia"/>
      <w:i/>
      <w:iCs/>
      <w:color w:val="000000" w:themeColor="text1"/>
      <w:lang w:eastAsia="ja-JP"/>
    </w:rPr>
  </w:style>
  <w:style w:type="paragraph" w:styleId="NoSpacing">
    <w:name w:val="No Spacing"/>
    <w:link w:val="NoSpacingChar"/>
    <w:uiPriority w:val="1"/>
    <w:qFormat/>
    <w:rsid w:val="009A1736"/>
    <w:pPr>
      <w:spacing w:after="0" w:line="240" w:lineRule="auto"/>
    </w:pPr>
  </w:style>
  <w:style w:type="character" w:styleId="Hyperlink">
    <w:name w:val="Hyperlink"/>
    <w:basedOn w:val="DefaultParagraphFont"/>
    <w:uiPriority w:val="99"/>
    <w:unhideWhenUsed/>
    <w:rsid w:val="009A1736"/>
    <w:rPr>
      <w:color w:val="0000FF" w:themeColor="hyperlink"/>
      <w:u w:val="single"/>
    </w:rPr>
  </w:style>
  <w:style w:type="character" w:customStyle="1" w:styleId="NoSpacingChar">
    <w:name w:val="No Spacing Char"/>
    <w:basedOn w:val="DefaultParagraphFont"/>
    <w:link w:val="NoSpacing"/>
    <w:uiPriority w:val="1"/>
    <w:rsid w:val="00D27E84"/>
  </w:style>
  <w:style w:type="paragraph" w:styleId="Header">
    <w:name w:val="header"/>
    <w:basedOn w:val="Normal"/>
    <w:link w:val="HeaderChar"/>
    <w:uiPriority w:val="99"/>
    <w:unhideWhenUsed/>
    <w:rsid w:val="00EC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C4"/>
  </w:style>
  <w:style w:type="paragraph" w:styleId="Footer">
    <w:name w:val="footer"/>
    <w:basedOn w:val="Normal"/>
    <w:link w:val="FooterChar"/>
    <w:uiPriority w:val="99"/>
    <w:unhideWhenUsed/>
    <w:rsid w:val="00EC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736"/>
    <w:rPr>
      <w:rFonts w:ascii="Tahoma" w:hAnsi="Tahoma" w:cs="Tahoma"/>
      <w:sz w:val="16"/>
      <w:szCs w:val="16"/>
    </w:rPr>
  </w:style>
  <w:style w:type="paragraph" w:styleId="Quote">
    <w:name w:val="Quote"/>
    <w:basedOn w:val="Normal"/>
    <w:next w:val="Normal"/>
    <w:link w:val="QuoteChar"/>
    <w:uiPriority w:val="29"/>
    <w:qFormat/>
    <w:rsid w:val="009A1736"/>
    <w:rPr>
      <w:rFonts w:eastAsiaTheme="minorEastAsia"/>
      <w:i/>
      <w:iCs/>
      <w:color w:val="000000" w:themeColor="text1"/>
      <w:lang w:eastAsia="ja-JP"/>
    </w:rPr>
  </w:style>
  <w:style w:type="character" w:customStyle="1" w:styleId="QuoteChar">
    <w:name w:val="Quote Char"/>
    <w:basedOn w:val="DefaultParagraphFont"/>
    <w:link w:val="Quote"/>
    <w:uiPriority w:val="29"/>
    <w:rsid w:val="009A1736"/>
    <w:rPr>
      <w:rFonts w:eastAsiaTheme="minorEastAsia"/>
      <w:i/>
      <w:iCs/>
      <w:color w:val="000000" w:themeColor="text1"/>
      <w:lang w:eastAsia="ja-JP"/>
    </w:rPr>
  </w:style>
  <w:style w:type="paragraph" w:styleId="NoSpacing">
    <w:name w:val="No Spacing"/>
    <w:link w:val="NoSpacingChar"/>
    <w:uiPriority w:val="1"/>
    <w:qFormat/>
    <w:rsid w:val="009A1736"/>
    <w:pPr>
      <w:spacing w:after="0" w:line="240" w:lineRule="auto"/>
    </w:pPr>
  </w:style>
  <w:style w:type="character" w:styleId="Hyperlink">
    <w:name w:val="Hyperlink"/>
    <w:basedOn w:val="DefaultParagraphFont"/>
    <w:uiPriority w:val="99"/>
    <w:unhideWhenUsed/>
    <w:rsid w:val="009A1736"/>
    <w:rPr>
      <w:color w:val="0000FF" w:themeColor="hyperlink"/>
      <w:u w:val="single"/>
    </w:rPr>
  </w:style>
  <w:style w:type="character" w:customStyle="1" w:styleId="NoSpacingChar">
    <w:name w:val="No Spacing Char"/>
    <w:basedOn w:val="DefaultParagraphFont"/>
    <w:link w:val="NoSpacing"/>
    <w:uiPriority w:val="1"/>
    <w:rsid w:val="00D27E84"/>
  </w:style>
  <w:style w:type="paragraph" w:styleId="Header">
    <w:name w:val="header"/>
    <w:basedOn w:val="Normal"/>
    <w:link w:val="HeaderChar"/>
    <w:uiPriority w:val="99"/>
    <w:unhideWhenUsed/>
    <w:rsid w:val="00EC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C4"/>
  </w:style>
  <w:style w:type="paragraph" w:styleId="Footer">
    <w:name w:val="footer"/>
    <w:basedOn w:val="Normal"/>
    <w:link w:val="FooterChar"/>
    <w:uiPriority w:val="99"/>
    <w:unhideWhenUsed/>
    <w:rsid w:val="00EC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NIS.33094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Wybenn Capin</dc:creator>
  <cp:lastModifiedBy>602HRDESK</cp:lastModifiedBy>
  <cp:revision>39</cp:revision>
  <cp:lastPrinted>2016-12-23T15:21:00Z</cp:lastPrinted>
  <dcterms:created xsi:type="dcterms:W3CDTF">2016-12-16T14:51:00Z</dcterms:created>
  <dcterms:modified xsi:type="dcterms:W3CDTF">2017-04-26T11:28:00Z</dcterms:modified>
</cp:coreProperties>
</file>