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14" w:rsidRDefault="002205EE">
      <w:pPr>
        <w:widowControl w:val="0"/>
        <w:autoSpaceDE w:val="0"/>
        <w:autoSpaceDN w:val="0"/>
        <w:adjustRightInd w:val="0"/>
        <w:spacing w:after="0" w:line="239" w:lineRule="auto"/>
        <w:ind w:left="40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5637530</wp:posOffset>
            </wp:positionH>
            <wp:positionV relativeFrom="page">
              <wp:posOffset>552450</wp:posOffset>
            </wp:positionV>
            <wp:extent cx="925830" cy="1049020"/>
            <wp:effectExtent l="0" t="0" r="762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64D">
        <w:rPr>
          <w:rFonts w:ascii="Calibri" w:hAnsi="Calibri" w:cs="Calibri"/>
          <w:b/>
          <w:bCs/>
          <w:u w:val="single"/>
        </w:rPr>
        <w:t xml:space="preserve"> </w:t>
      </w:r>
      <w:bookmarkStart w:id="1" w:name="_GoBack"/>
      <w:bookmarkEnd w:id="1"/>
      <w:r w:rsidR="00316047">
        <w:rPr>
          <w:rFonts w:ascii="Calibri" w:hAnsi="Calibri" w:cs="Calibri"/>
          <w:b/>
          <w:bCs/>
          <w:u w:val="single"/>
        </w:rPr>
        <w:t>CURRICULUM VITAE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2205EE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Calibri" w:hAnsi="Calibri" w:cs="Calibri"/>
          <w:b/>
          <w:bCs/>
          <w:sz w:val="30"/>
          <w:szCs w:val="30"/>
        </w:rPr>
      </w:pPr>
      <w:proofErr w:type="spellStart"/>
      <w:r>
        <w:rPr>
          <w:rFonts w:ascii="Calibri" w:hAnsi="Calibri" w:cs="Calibri"/>
          <w:b/>
          <w:bCs/>
          <w:sz w:val="30"/>
          <w:szCs w:val="30"/>
        </w:rPr>
        <w:t>Shalu</w:t>
      </w:r>
      <w:proofErr w:type="spellEnd"/>
    </w:p>
    <w:p w:rsidR="002205EE" w:rsidRDefault="002205EE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Calibri" w:hAnsi="Calibri" w:cs="Calibri"/>
          <w:b/>
          <w:bCs/>
          <w:sz w:val="30"/>
          <w:szCs w:val="30"/>
        </w:rPr>
      </w:pPr>
    </w:p>
    <w:p w:rsidR="002205EE" w:rsidRDefault="00CA664D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205EE" w:rsidRPr="00CE7ABC">
          <w:rPr>
            <w:rStyle w:val="Hyperlink"/>
            <w:rFonts w:ascii="Times New Roman" w:hAnsi="Times New Roman" w:cs="Times New Roman"/>
            <w:sz w:val="24"/>
            <w:szCs w:val="24"/>
          </w:rPr>
          <w:t>Shalu.337345@2freemail.com</w:t>
        </w:r>
      </w:hyperlink>
    </w:p>
    <w:p w:rsidR="002205EE" w:rsidRDefault="002205EE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</w:p>
    <w:p w:rsidR="00D00314" w:rsidRDefault="00D0031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D00314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2205EE" w:rsidRDefault="002205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220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-240665</wp:posOffset>
            </wp:positionH>
            <wp:positionV relativeFrom="paragraph">
              <wp:posOffset>153035</wp:posOffset>
            </wp:positionV>
            <wp:extent cx="6311900" cy="82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14" w:rsidRDefault="00D0031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Career Objective:-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0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 xml:space="preserve">To reach the highest echelons of an organization with hard work, dedication, constant </w:t>
      </w:r>
      <w:proofErr w:type="spellStart"/>
      <w:r>
        <w:rPr>
          <w:rFonts w:ascii="Calibri" w:hAnsi="Calibri" w:cs="Calibri"/>
          <w:i/>
          <w:iCs/>
        </w:rPr>
        <w:t>endeavor</w:t>
      </w:r>
      <w:proofErr w:type="spellEnd"/>
      <w:r>
        <w:rPr>
          <w:rFonts w:ascii="Calibri" w:hAnsi="Calibri" w:cs="Calibri"/>
          <w:i/>
          <w:iCs/>
        </w:rPr>
        <w:t xml:space="preserve"> to achieve better and add value.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Professional Qualifications:-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6"/>
          <w:szCs w:val="26"/>
          <w:vertAlign w:val="superscript"/>
        </w:rPr>
      </w:pPr>
      <w:r>
        <w:rPr>
          <w:rFonts w:ascii="Calibri" w:hAnsi="Calibri" w:cs="Calibri"/>
          <w:b/>
          <w:bCs/>
        </w:rPr>
        <w:t>CA Inter</w:t>
      </w:r>
      <w:r>
        <w:rPr>
          <w:rFonts w:ascii="Calibri" w:hAnsi="Calibri" w:cs="Calibri"/>
        </w:rPr>
        <w:t>, ICAI (Institute of Chartered Accountants of India), May 2012</w:t>
      </w:r>
      <w:r>
        <w:rPr>
          <w:rFonts w:ascii="Calibri" w:hAnsi="Calibri" w:cs="Calibri"/>
          <w:b/>
          <w:bCs/>
        </w:rPr>
        <w:t xml:space="preserve">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b/>
          <w:bCs/>
          <w:sz w:val="26"/>
          <w:szCs w:val="26"/>
          <w:vertAlign w:val="superscript"/>
        </w:rPr>
      </w:pPr>
    </w:p>
    <w:p w:rsidR="00D00314" w:rsidRDefault="003160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6"/>
          <w:szCs w:val="26"/>
          <w:vertAlign w:val="superscript"/>
        </w:rPr>
      </w:pPr>
      <w:r>
        <w:rPr>
          <w:rFonts w:ascii="Calibri" w:hAnsi="Calibri" w:cs="Calibri"/>
          <w:b/>
          <w:bCs/>
        </w:rPr>
        <w:t xml:space="preserve">Bachelor of Commerce </w:t>
      </w:r>
      <w:r>
        <w:rPr>
          <w:rFonts w:ascii="Calibri" w:hAnsi="Calibri" w:cs="Calibri"/>
          <w:i/>
          <w:iCs/>
        </w:rPr>
        <w:t>(Aggregate 60%),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Indira Gandhi National Open University, December 2013</w:t>
      </w:r>
      <w:r>
        <w:rPr>
          <w:rFonts w:ascii="Calibri" w:hAnsi="Calibri" w:cs="Calibri"/>
          <w:b/>
          <w:bCs/>
        </w:rPr>
        <w:t xml:space="preserve">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b/>
          <w:bCs/>
          <w:sz w:val="26"/>
          <w:szCs w:val="26"/>
          <w:vertAlign w:val="superscript"/>
        </w:rPr>
      </w:pPr>
    </w:p>
    <w:p w:rsidR="00D00314" w:rsidRDefault="003160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6"/>
          <w:szCs w:val="26"/>
          <w:vertAlign w:val="superscript"/>
        </w:rPr>
      </w:pPr>
      <w:r>
        <w:rPr>
          <w:rFonts w:ascii="Calibri" w:hAnsi="Calibri" w:cs="Calibri"/>
        </w:rPr>
        <w:t xml:space="preserve">Senior Secondary class XII </w:t>
      </w:r>
      <w:r>
        <w:rPr>
          <w:rFonts w:ascii="Calibri" w:hAnsi="Calibri" w:cs="Calibri"/>
          <w:i/>
          <w:iCs/>
        </w:rPr>
        <w:t>(Aggregate 92%)</w:t>
      </w:r>
      <w:r>
        <w:rPr>
          <w:rFonts w:ascii="Calibri" w:hAnsi="Calibri" w:cs="Calibri"/>
        </w:rPr>
        <w:t xml:space="preserve">, Indian Council of Secondary Education, March 2011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b/>
          <w:bCs/>
          <w:sz w:val="26"/>
          <w:szCs w:val="26"/>
          <w:vertAlign w:val="superscript"/>
        </w:rPr>
      </w:pPr>
    </w:p>
    <w:p w:rsidR="00D00314" w:rsidRDefault="003160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6"/>
          <w:szCs w:val="26"/>
          <w:vertAlign w:val="superscript"/>
        </w:rPr>
      </w:pPr>
      <w:r>
        <w:rPr>
          <w:rFonts w:ascii="Calibri" w:hAnsi="Calibri" w:cs="Calibri"/>
        </w:rPr>
        <w:t xml:space="preserve">Higher Secondary class X </w:t>
      </w:r>
      <w:r>
        <w:rPr>
          <w:rFonts w:ascii="Calibri" w:hAnsi="Calibri" w:cs="Calibri"/>
          <w:i/>
          <w:iCs/>
        </w:rPr>
        <w:t>(Aggregate 86%)</w:t>
      </w:r>
      <w:r>
        <w:rPr>
          <w:rFonts w:ascii="Calibri" w:hAnsi="Calibri" w:cs="Calibri"/>
        </w:rPr>
        <w:t xml:space="preserve">, Indian Council of Secondary Education, March 2009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Professional Experience:-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 years of functional experience as Articled Assistant.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39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VARMA AND VARMA CHARTERED ACCOUNTANTS, TRIVANDRUM Articled Assistant </w:t>
      </w:r>
      <w:r>
        <w:rPr>
          <w:rFonts w:ascii="Calibri" w:hAnsi="Calibri" w:cs="Calibri"/>
        </w:rPr>
        <w:t>(September 2012 – September 2015)</w:t>
      </w:r>
    </w:p>
    <w:p w:rsidR="00D00314" w:rsidRDefault="002205E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-222250</wp:posOffset>
                </wp:positionV>
                <wp:extent cx="377825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7.5pt" to="297.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B2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" o:allowincell="f" strokeweight=".72pt"/>
            </w:pict>
          </mc:Fallback>
        </mc:AlternateContent>
      </w:r>
    </w:p>
    <w:p w:rsidR="00D00314" w:rsidRDefault="00316047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Varma</w:t>
      </w:r>
      <w:proofErr w:type="spellEnd"/>
      <w:r>
        <w:rPr>
          <w:rFonts w:ascii="Calibri" w:hAnsi="Calibri" w:cs="Calibri"/>
        </w:rPr>
        <w:t xml:space="preserve"> &amp; </w:t>
      </w:r>
      <w:proofErr w:type="spellStart"/>
      <w:r>
        <w:rPr>
          <w:rFonts w:ascii="Calibri" w:hAnsi="Calibri" w:cs="Calibri"/>
        </w:rPr>
        <w:t>Varma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FF"/>
          <w:u w:val="single"/>
        </w:rPr>
        <w:t>(www.varmaandvarma.com)</w:t>
      </w:r>
      <w:r>
        <w:rPr>
          <w:rFonts w:ascii="Calibri" w:hAnsi="Calibri" w:cs="Calibri"/>
        </w:rPr>
        <w:t xml:space="preserve"> was founded in June 1935 with its first office at Cochin in South India. The firm currently operates in eight </w:t>
      </w:r>
      <w:proofErr w:type="spellStart"/>
      <w:r>
        <w:rPr>
          <w:rFonts w:ascii="Calibri" w:hAnsi="Calibri" w:cs="Calibri"/>
        </w:rPr>
        <w:t>centers</w:t>
      </w:r>
      <w:proofErr w:type="spellEnd"/>
      <w:r>
        <w:rPr>
          <w:rFonts w:ascii="Calibri" w:hAnsi="Calibri" w:cs="Calibri"/>
        </w:rPr>
        <w:t xml:space="preserve"> spread over the States of Kerala, Tamil Nadu, Karnataka and Andhra Pradesh in India. The client groups include Large-Medium sector, Public-Private sector, Foreign-Domestic Corporates and Banks.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Key Roles and Responsibilities:</w:t>
      </w:r>
    </w:p>
    <w:p w:rsidR="00D00314" w:rsidRDefault="002205E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93230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305" cy="0"/>
                        </a:xfrm>
                        <a:prstGeom prst="line">
                          <a:avLst/>
                        </a:prstGeom>
                        <a:noFill/>
                        <a:ln w="106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152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HR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" o:allowincell="f" strokeweight=".29667mm"/>
            </w:pict>
          </mc:Fallback>
        </mc:AlternateContent>
      </w: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u w:val="single"/>
        </w:rPr>
        <w:t>Statutory Audit Engagements: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Performed procedures based on primary statement review &amp; client meetings to determine audit plan.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Performed audit in accordance with the Standards on Auditing issued by ICAI.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Supervised audit team on engagements.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Discussion of accounting and auditing issues with partner in charge and client’s management.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Preparation of audited financial statements and related documentation.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u w:val="single"/>
        </w:rPr>
        <w:t>Tax Audit Engagements/Others/Agreed upon procedures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Performed Tax audits and drafting of tax audit reports.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Filed returns for individuals/firms/Corporates.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Preparation of books of accounts and financial statements in accordance with Indian GAAP.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Preparation of Transfer pricing reports based on analysis of transactions with associated companies.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u w:val="single"/>
        </w:rPr>
        <w:t>Internal Audit Engagements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40"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Preparation of audit plan based on evaluation of controls, previous internal audit reports and financial statements.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Analysis of system and process in detail.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240"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Preparation of corresponding working papers covering deviations and significant findings to support examination.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Discussion of Audit findings with engagement senior.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Preparation and finalisation of the Internal Audit Report.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0314">
          <w:pgSz w:w="11900" w:h="16834"/>
          <w:pgMar w:top="958" w:right="1000" w:bottom="658" w:left="1000" w:header="720" w:footer="720" w:gutter="0"/>
          <w:cols w:space="720" w:equalWidth="0">
            <w:col w:w="9900"/>
          </w:cols>
          <w:noEndnote/>
        </w:sectPr>
      </w:pP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lastRenderedPageBreak/>
        <w:t>Key Sector Exposures:-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Hotel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Leela</w:t>
      </w:r>
      <w:proofErr w:type="spellEnd"/>
      <w:r>
        <w:rPr>
          <w:rFonts w:ascii="Calibri" w:hAnsi="Calibri" w:cs="Calibri"/>
        </w:rPr>
        <w:t xml:space="preserve"> hotels </w:t>
      </w:r>
      <w:proofErr w:type="spellStart"/>
      <w:r>
        <w:rPr>
          <w:rFonts w:ascii="Calibri" w:hAnsi="Calibri" w:cs="Calibri"/>
        </w:rPr>
        <w:t>Kovalam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Kovalam</w:t>
      </w:r>
      <w:proofErr w:type="spellEnd"/>
      <w:r>
        <w:rPr>
          <w:rFonts w:ascii="Calibri" w:hAnsi="Calibri" w:cs="Calibri"/>
        </w:rPr>
        <w:t xml:space="preserve"> Resorts Pvt Ltd.</w:t>
      </w:r>
      <w:r>
        <w:rPr>
          <w:rFonts w:ascii="Calibri" w:hAnsi="Calibri" w:cs="Calibri"/>
          <w:b/>
          <w:bCs/>
        </w:rPr>
        <w:t xml:space="preserve">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right="40"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Information Technology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Cronos</w:t>
      </w:r>
      <w:proofErr w:type="spellEnd"/>
      <w:r>
        <w:rPr>
          <w:rFonts w:ascii="Calibri" w:hAnsi="Calibri" w:cs="Calibri"/>
        </w:rPr>
        <w:t xml:space="preserve"> Consulting India Pvt </w:t>
      </w:r>
      <w:proofErr w:type="spellStart"/>
      <w:r>
        <w:rPr>
          <w:rFonts w:ascii="Calibri" w:hAnsi="Calibri" w:cs="Calibri"/>
        </w:rPr>
        <w:t>Ltd,Travancore</w:t>
      </w:r>
      <w:proofErr w:type="spellEnd"/>
      <w:r>
        <w:rPr>
          <w:rFonts w:ascii="Calibri" w:hAnsi="Calibri" w:cs="Calibri"/>
        </w:rPr>
        <w:t xml:space="preserve"> Analytics Pvt Ltd, </w:t>
      </w:r>
      <w:proofErr w:type="spellStart"/>
      <w:r>
        <w:rPr>
          <w:rFonts w:ascii="Calibri" w:hAnsi="Calibri" w:cs="Calibri"/>
        </w:rPr>
        <w:t>Devicedriven</w:t>
      </w:r>
      <w:proofErr w:type="spellEnd"/>
      <w:r>
        <w:rPr>
          <w:rFonts w:ascii="Calibri" w:hAnsi="Calibri" w:cs="Calibri"/>
        </w:rPr>
        <w:t xml:space="preserve"> &amp;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</w:rPr>
        <w:t>Needstreet</w:t>
      </w:r>
      <w:proofErr w:type="spellEnd"/>
      <w:r>
        <w:rPr>
          <w:rFonts w:ascii="Calibri" w:hAnsi="Calibri" w:cs="Calibri"/>
        </w:rPr>
        <w:t xml:space="preserve"> Technologies Pvt Ltd, </w:t>
      </w:r>
      <w:proofErr w:type="spellStart"/>
      <w:r>
        <w:rPr>
          <w:rFonts w:ascii="Calibri" w:hAnsi="Calibri" w:cs="Calibri"/>
        </w:rPr>
        <w:t>Attinad</w:t>
      </w:r>
      <w:proofErr w:type="spellEnd"/>
      <w:r>
        <w:rPr>
          <w:rFonts w:ascii="Calibri" w:hAnsi="Calibri" w:cs="Calibri"/>
        </w:rPr>
        <w:t xml:space="preserve"> Pvt Ltd.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Manufacturing</w:t>
      </w:r>
      <w:r>
        <w:rPr>
          <w:rFonts w:ascii="Calibri" w:hAnsi="Calibri" w:cs="Calibri"/>
        </w:rPr>
        <w:t>: Kerala State Electronic Development Corporation, Kerala State Textile Corporation</w:t>
      </w:r>
      <w:r>
        <w:rPr>
          <w:rFonts w:ascii="Calibri" w:hAnsi="Calibri" w:cs="Calibri"/>
          <w:b/>
          <w:bCs/>
        </w:rPr>
        <w:t xml:space="preserve">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Retail</w:t>
      </w:r>
      <w:r>
        <w:rPr>
          <w:rFonts w:ascii="Calibri" w:hAnsi="Calibri" w:cs="Calibri"/>
        </w:rPr>
        <w:t xml:space="preserve">: Venus Gas Agency, </w:t>
      </w:r>
      <w:proofErr w:type="spellStart"/>
      <w:r>
        <w:rPr>
          <w:rFonts w:ascii="Calibri" w:hAnsi="Calibri" w:cs="Calibri"/>
        </w:rPr>
        <w:t>Somasundaram</w:t>
      </w:r>
      <w:proofErr w:type="spellEnd"/>
      <w:r>
        <w:rPr>
          <w:rFonts w:ascii="Calibri" w:hAnsi="Calibri" w:cs="Calibri"/>
        </w:rPr>
        <w:t xml:space="preserve"> &amp; Sons Handlooms.</w:t>
      </w:r>
      <w:r>
        <w:rPr>
          <w:rFonts w:ascii="Calibri" w:hAnsi="Calibri" w:cs="Calibri"/>
          <w:b/>
          <w:bCs/>
        </w:rPr>
        <w:t xml:space="preserve">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b/>
          <w:bCs/>
          <w:sz w:val="20"/>
          <w:szCs w:val="20"/>
        </w:rPr>
      </w:pPr>
    </w:p>
    <w:p w:rsidR="00D00314" w:rsidRDefault="003160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  <w:sz w:val="20"/>
          <w:szCs w:val="20"/>
        </w:rPr>
      </w:pPr>
      <w:proofErr w:type="gramStart"/>
      <w:r>
        <w:rPr>
          <w:rFonts w:ascii="Calibri" w:hAnsi="Calibri" w:cs="Calibri"/>
          <w:b/>
          <w:bCs/>
        </w:rPr>
        <w:t xml:space="preserve">Automobile </w:t>
      </w:r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t xml:space="preserve"> Indus Motors Pvt ltd, Hercules Motors.</w:t>
      </w:r>
      <w:r>
        <w:rPr>
          <w:rFonts w:ascii="Calibri" w:hAnsi="Calibri" w:cs="Calibri"/>
          <w:b/>
          <w:bCs/>
        </w:rPr>
        <w:t xml:space="preserve">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Skills &amp; Trainings:-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</w:rPr>
      </w:pPr>
      <w:r>
        <w:rPr>
          <w:rFonts w:ascii="Calibri" w:hAnsi="Calibri" w:cs="Calibri"/>
        </w:rPr>
        <w:t xml:space="preserve">Expert knowledge in </w:t>
      </w:r>
      <w:r>
        <w:rPr>
          <w:rFonts w:ascii="Calibri" w:hAnsi="Calibri" w:cs="Calibri"/>
          <w:b/>
          <w:bCs/>
        </w:rPr>
        <w:t>MS Office.</w:t>
      </w:r>
      <w:r>
        <w:rPr>
          <w:rFonts w:ascii="Calibri" w:hAnsi="Calibri" w:cs="Calibri"/>
        </w:rPr>
        <w:t xml:space="preserve"> (Excel, Word, Power Point)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b/>
          <w:bCs/>
        </w:rPr>
      </w:pPr>
    </w:p>
    <w:p w:rsidR="00D00314" w:rsidRDefault="003160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</w:rPr>
      </w:pPr>
      <w:r>
        <w:rPr>
          <w:rFonts w:ascii="Calibri" w:hAnsi="Calibri" w:cs="Calibri"/>
        </w:rPr>
        <w:t xml:space="preserve">Hands-on experience in </w:t>
      </w:r>
      <w:r>
        <w:rPr>
          <w:rFonts w:ascii="Calibri" w:hAnsi="Calibri" w:cs="Calibri"/>
          <w:b/>
          <w:bCs/>
        </w:rPr>
        <w:t>Tally.</w:t>
      </w:r>
      <w:r>
        <w:rPr>
          <w:rFonts w:ascii="Calibri" w:hAnsi="Calibri" w:cs="Calibri"/>
        </w:rPr>
        <w:t xml:space="preserve">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b/>
          <w:bCs/>
        </w:rPr>
      </w:pPr>
    </w:p>
    <w:p w:rsidR="00D00314" w:rsidRDefault="003160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Wingdings" w:hAnsi="Wingdings" w:cs="Wingdings"/>
          <w:b/>
          <w:bCs/>
        </w:rPr>
      </w:pPr>
      <w:r>
        <w:rPr>
          <w:rFonts w:ascii="Calibri" w:hAnsi="Calibri" w:cs="Calibri"/>
        </w:rPr>
        <w:t xml:space="preserve">General Management &amp; Communication skills course </w:t>
      </w:r>
      <w:proofErr w:type="spellStart"/>
      <w:r>
        <w:rPr>
          <w:rFonts w:ascii="Calibri" w:hAnsi="Calibri" w:cs="Calibri"/>
        </w:rPr>
        <w:t>consucted</w:t>
      </w:r>
      <w:proofErr w:type="spellEnd"/>
      <w:r>
        <w:rPr>
          <w:rFonts w:ascii="Calibri" w:hAnsi="Calibri" w:cs="Calibri"/>
        </w:rPr>
        <w:t xml:space="preserve"> by </w:t>
      </w:r>
      <w:r>
        <w:rPr>
          <w:rFonts w:ascii="Calibri" w:hAnsi="Calibri" w:cs="Calibri"/>
          <w:b/>
          <w:bCs/>
        </w:rPr>
        <w:t>ICAI</w:t>
      </w:r>
      <w:r>
        <w:rPr>
          <w:rFonts w:ascii="Calibri" w:hAnsi="Calibri" w:cs="Calibri"/>
        </w:rPr>
        <w:t xml:space="preserve"> (Institute of Chartered Accountants of India) in June, 2015.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Other Achievements:-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hanging="359"/>
        <w:jc w:val="both"/>
        <w:rPr>
          <w:rFonts w:ascii="Wingdings" w:hAnsi="Wingdings" w:cs="Wingdings"/>
          <w:b/>
          <w:bCs/>
        </w:rPr>
      </w:pPr>
      <w:r>
        <w:rPr>
          <w:rFonts w:ascii="Calibri" w:hAnsi="Calibri" w:cs="Calibri"/>
        </w:rPr>
        <w:t xml:space="preserve">Selected to present “Updates to Indian Auditing standards” in the firm’s seminar as part of induction process to the articled assistants.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D00314" w:rsidRDefault="0031604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</w:rPr>
      </w:pPr>
      <w:r>
        <w:rPr>
          <w:rFonts w:ascii="Calibri" w:hAnsi="Calibri" w:cs="Calibri"/>
        </w:rPr>
        <w:t xml:space="preserve">Recipient of “Academic Excellence Awards” in </w:t>
      </w:r>
      <w:proofErr w:type="spellStart"/>
      <w:r>
        <w:rPr>
          <w:rFonts w:ascii="Calibri" w:hAnsi="Calibri" w:cs="Calibri"/>
        </w:rPr>
        <w:t>XIIth</w:t>
      </w:r>
      <w:proofErr w:type="spellEnd"/>
      <w:r>
        <w:rPr>
          <w:rFonts w:ascii="Calibri" w:hAnsi="Calibri" w:cs="Calibri"/>
        </w:rPr>
        <w:t xml:space="preserve"> Grade.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b/>
          <w:bCs/>
        </w:rPr>
      </w:pPr>
    </w:p>
    <w:p w:rsidR="00D00314" w:rsidRDefault="0031604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</w:rPr>
      </w:pPr>
      <w:r>
        <w:rPr>
          <w:rFonts w:ascii="Calibri" w:hAnsi="Calibri" w:cs="Calibri"/>
        </w:rPr>
        <w:t xml:space="preserve">All Rounder in the “General Management and Communication Skills” in the year June 2015.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b/>
          <w:bCs/>
        </w:rPr>
      </w:pPr>
    </w:p>
    <w:p w:rsidR="00D00314" w:rsidRDefault="0031604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</w:rPr>
      </w:pPr>
      <w:r>
        <w:rPr>
          <w:rFonts w:ascii="Calibri" w:hAnsi="Calibri" w:cs="Calibri"/>
        </w:rPr>
        <w:t xml:space="preserve">Active participant and winner in various cultural events such as Dance and Music at School level.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Personal Strengths:-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</w:rPr>
      </w:pPr>
      <w:r>
        <w:rPr>
          <w:rFonts w:ascii="Calibri" w:hAnsi="Calibri" w:cs="Calibri"/>
        </w:rPr>
        <w:t xml:space="preserve">Effective communicator with strong analytical, problem solving &amp; organizational abilities.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b/>
          <w:bCs/>
        </w:rPr>
      </w:pPr>
    </w:p>
    <w:p w:rsidR="00D00314" w:rsidRDefault="0031604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b/>
          <w:bCs/>
        </w:rPr>
      </w:pPr>
      <w:r>
        <w:rPr>
          <w:rFonts w:ascii="Calibri" w:hAnsi="Calibri" w:cs="Calibri"/>
        </w:rPr>
        <w:t xml:space="preserve">Results oriented individual &amp; consistent contributor with ability to work in and to guide a team.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b/>
          <w:bCs/>
        </w:rPr>
      </w:pPr>
    </w:p>
    <w:p w:rsidR="00D00314" w:rsidRDefault="0031604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</w:rPr>
      </w:pPr>
      <w:r>
        <w:rPr>
          <w:rFonts w:ascii="Calibri" w:hAnsi="Calibri" w:cs="Calibri"/>
        </w:rPr>
        <w:t xml:space="preserve">Maintained an excellent reputation through exceptional inter personal skills and hard work. 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Personal Dossier:-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180"/>
        <w:gridCol w:w="380"/>
        <w:gridCol w:w="2220"/>
        <w:gridCol w:w="1820"/>
        <w:gridCol w:w="880"/>
        <w:gridCol w:w="2060"/>
      </w:tblGrid>
      <w:tr w:rsidR="00D00314">
        <w:trPr>
          <w:trHeight w:val="271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0314">
        <w:trPr>
          <w:trHeight w:val="269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31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Gender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31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31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Female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0314">
        <w:trPr>
          <w:trHeight w:val="269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31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Nationality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31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31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Indian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0314">
        <w:trPr>
          <w:trHeight w:val="269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31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Marital 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31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31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Married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0314">
        <w:trPr>
          <w:trHeight w:val="29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31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Linguistic Proficiency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31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31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English, Malayalam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4">
        <w:trPr>
          <w:trHeight w:val="43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31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Passport Information:-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4">
        <w:trPr>
          <w:trHeight w:val="13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00314">
        <w:trPr>
          <w:trHeight w:val="28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4">
        <w:trPr>
          <w:trHeight w:val="17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00314">
        <w:trPr>
          <w:trHeight w:val="28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4">
        <w:trPr>
          <w:trHeight w:val="17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14" w:rsidRDefault="00D0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D00314" w:rsidRDefault="00D0031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Declaration:-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31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 hereby declare that the information furnished above is true to my knowledge and belief.</w:t>
      </w:r>
    </w:p>
    <w:p w:rsidR="00D00314" w:rsidRDefault="00D00314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D00314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D00314" w:rsidRDefault="00D00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314">
      <w:pgSz w:w="11899" w:h="16834"/>
      <w:pgMar w:top="967" w:right="1000" w:bottom="1440" w:left="100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7"/>
    <w:rsid w:val="002205EE"/>
    <w:rsid w:val="00316047"/>
    <w:rsid w:val="00CA664D"/>
    <w:rsid w:val="00D0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halu.3373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784812338</cp:lastModifiedBy>
  <cp:revision>4</cp:revision>
  <dcterms:created xsi:type="dcterms:W3CDTF">2017-07-26T06:41:00Z</dcterms:created>
  <dcterms:modified xsi:type="dcterms:W3CDTF">2017-10-13T08:17:00Z</dcterms:modified>
</cp:coreProperties>
</file>