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167EC" w:rsidRPr="00AF2DB8" w:rsidRDefault="00AF2DB8" w:rsidP="00AF2DB8">
      <w:pPr>
        <w:shd w:val="clear" w:color="auto" w:fill="DBE5F1"/>
        <w:spacing w:line="276" w:lineRule="auto"/>
        <w:jc w:val="center"/>
        <w:rPr>
          <w:rFonts w:ascii="Arial" w:eastAsia="Cambria" w:hAnsi="Arial" w:cs="Arial"/>
          <w:b/>
          <w:bCs/>
          <w:smallCaps/>
          <w:spacing w:val="26"/>
          <w:sz w:val="44"/>
          <w:szCs w:val="44"/>
        </w:rPr>
      </w:pPr>
      <w:r w:rsidRPr="00AF2DB8">
        <w:rPr>
          <w:rFonts w:ascii="Candara" w:hAnsi="Candara"/>
          <w:b/>
          <w:sz w:val="44"/>
          <w:szCs w:val="44"/>
        </w:rPr>
        <w:fldChar w:fldCharType="begin"/>
      </w:r>
      <w:r w:rsidRPr="00AF2DB8">
        <w:rPr>
          <w:rFonts w:ascii="Candara" w:hAnsi="Candara"/>
          <w:b/>
          <w:sz w:val="44"/>
          <w:szCs w:val="44"/>
        </w:rPr>
        <w:instrText xml:space="preserve"> HYPERLINK "mailto:348565@gulfjobseekers.com" </w:instrText>
      </w:r>
      <w:r w:rsidRPr="00AF2DB8">
        <w:rPr>
          <w:rFonts w:ascii="Candara" w:hAnsi="Candara"/>
          <w:b/>
          <w:sz w:val="44"/>
          <w:szCs w:val="44"/>
        </w:rPr>
        <w:fldChar w:fldCharType="separate"/>
      </w:r>
      <w:r w:rsidRPr="00AF2DB8">
        <w:rPr>
          <w:rStyle w:val="Hyperlink"/>
          <w:rFonts w:ascii="Candara" w:hAnsi="Candara"/>
          <w:b/>
          <w:sz w:val="44"/>
          <w:szCs w:val="44"/>
        </w:rPr>
        <w:t>348565@gulfjobseekers.com</w:t>
      </w:r>
      <w:r w:rsidRPr="00AF2DB8">
        <w:rPr>
          <w:rFonts w:ascii="Candara" w:hAnsi="Candara"/>
          <w:b/>
          <w:sz w:val="44"/>
          <w:szCs w:val="44"/>
        </w:rPr>
        <w:fldChar w:fldCharType="end"/>
      </w:r>
    </w:p>
    <w:bookmarkEnd w:id="0"/>
    <w:p w:rsidR="007357D4" w:rsidRPr="005F660F" w:rsidRDefault="007357D4" w:rsidP="007357D4">
      <w:pPr>
        <w:spacing w:after="6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 w:firstRow="1" w:lastRow="0" w:firstColumn="1" w:lastColumn="0" w:noHBand="0" w:noVBand="0"/>
      </w:tblPr>
      <w:tblGrid>
        <w:gridCol w:w="10800"/>
      </w:tblGrid>
      <w:tr w:rsidR="007357D4" w:rsidRPr="005F660F" w:rsidTr="009D0BFA">
        <w:tc>
          <w:tcPr>
            <w:tcW w:w="10800" w:type="dxa"/>
            <w:shd w:val="clear" w:color="auto" w:fill="DBE5F1"/>
          </w:tcPr>
          <w:p w:rsidR="007357D4" w:rsidRPr="005F660F" w:rsidRDefault="007357D4" w:rsidP="00840BA6">
            <w:pPr>
              <w:spacing w:after="60" w:line="276" w:lineRule="auto"/>
              <w:rPr>
                <w:rFonts w:ascii="Arial" w:hAnsi="Arial" w:cs="Arial"/>
                <w:b/>
                <w:smallCaps/>
              </w:rPr>
            </w:pPr>
            <w:r w:rsidRPr="005F66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EDUCATIONAL QUALIFICATIONS: </w:t>
            </w:r>
            <w:r w:rsidRPr="005F660F">
              <w:rPr>
                <w:rFonts w:ascii="Arial" w:hAnsi="Arial" w:cs="Arial"/>
                <w:sz w:val="22"/>
                <w:szCs w:val="22"/>
              </w:rPr>
              <w:t>Bachelor of Commerce Degree from Madras University</w:t>
            </w:r>
          </w:p>
        </w:tc>
      </w:tr>
    </w:tbl>
    <w:p w:rsidR="005F660F" w:rsidRPr="005E23AB" w:rsidRDefault="005F660F" w:rsidP="005F66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 w:firstRow="1" w:lastRow="0" w:firstColumn="1" w:lastColumn="0" w:noHBand="0" w:noVBand="0"/>
      </w:tblPr>
      <w:tblGrid>
        <w:gridCol w:w="10800"/>
      </w:tblGrid>
      <w:tr w:rsidR="005F660F" w:rsidRPr="005F660F" w:rsidTr="00EB7E68">
        <w:tc>
          <w:tcPr>
            <w:tcW w:w="10800" w:type="dxa"/>
            <w:shd w:val="clear" w:color="auto" w:fill="DBE5F1"/>
          </w:tcPr>
          <w:p w:rsidR="005F660F" w:rsidRPr="005F660F" w:rsidRDefault="005F660F" w:rsidP="00EB7E68">
            <w:pPr>
              <w:rPr>
                <w:rFonts w:ascii="Arial" w:hAnsi="Arial" w:cs="Arial"/>
                <w:b/>
                <w:smallCaps/>
              </w:rPr>
            </w:pPr>
            <w:r w:rsidRPr="005F66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CERTIFICATION:  </w:t>
            </w:r>
            <w:r w:rsidRPr="005F660F">
              <w:rPr>
                <w:rFonts w:ascii="Arial" w:hAnsi="Arial" w:cs="Arial"/>
                <w:sz w:val="22"/>
                <w:szCs w:val="22"/>
              </w:rPr>
              <w:t>Certified Management Accountant (CMA) from the USA</w:t>
            </w:r>
          </w:p>
        </w:tc>
      </w:tr>
    </w:tbl>
    <w:p w:rsidR="005F660F" w:rsidRPr="005E23AB" w:rsidRDefault="005F660F" w:rsidP="005F660F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 w:firstRow="1" w:lastRow="0" w:firstColumn="1" w:lastColumn="0" w:noHBand="0" w:noVBand="0"/>
      </w:tblPr>
      <w:tblGrid>
        <w:gridCol w:w="10800"/>
      </w:tblGrid>
      <w:tr w:rsidR="00D167EC" w:rsidRPr="005E23AB" w:rsidTr="008674CE">
        <w:tc>
          <w:tcPr>
            <w:tcW w:w="10800" w:type="dxa"/>
            <w:shd w:val="clear" w:color="auto" w:fill="DBE5F1"/>
          </w:tcPr>
          <w:p w:rsidR="00D167EC" w:rsidRPr="005E23AB" w:rsidRDefault="008F36B4" w:rsidP="008674CE">
            <w:pPr>
              <w:pStyle w:val="BodyText"/>
              <w:spacing w:after="0"/>
              <w:rPr>
                <w:rFonts w:ascii="Arial" w:hAnsi="Arial" w:cs="Arial"/>
                <w:b/>
                <w:smallCaps/>
              </w:rPr>
            </w:pPr>
            <w:r w:rsidRPr="005E23AB">
              <w:rPr>
                <w:rFonts w:ascii="Arial" w:hAnsi="Arial" w:cs="Arial"/>
                <w:b/>
                <w:smallCaps/>
                <w:sz w:val="22"/>
                <w:szCs w:val="22"/>
              </w:rPr>
              <w:t>SUMMARY</w:t>
            </w:r>
          </w:p>
        </w:tc>
      </w:tr>
    </w:tbl>
    <w:p w:rsidR="00394BFB" w:rsidRDefault="00394BFB" w:rsidP="008F36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57DE" w:rsidRDefault="008F36B4" w:rsidP="003C57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23AB">
        <w:rPr>
          <w:rFonts w:ascii="Arial" w:hAnsi="Arial" w:cs="Arial"/>
          <w:b/>
          <w:sz w:val="22"/>
          <w:szCs w:val="22"/>
        </w:rPr>
        <w:t>Finance Professional</w:t>
      </w:r>
      <w:r w:rsidRPr="005E23AB">
        <w:rPr>
          <w:rFonts w:ascii="Arial" w:hAnsi="Arial" w:cs="Arial"/>
          <w:sz w:val="22"/>
          <w:szCs w:val="22"/>
        </w:rPr>
        <w:t xml:space="preserve"> </w:t>
      </w:r>
      <w:r w:rsidRPr="005E23AB">
        <w:rPr>
          <w:rFonts w:ascii="Arial" w:hAnsi="Arial" w:cs="Arial"/>
          <w:color w:val="000000"/>
          <w:sz w:val="22"/>
          <w:szCs w:val="22"/>
        </w:rPr>
        <w:t>with over twenty five years of experience skilled at consistently meeting deadlines extensive experienc</w:t>
      </w:r>
      <w:r w:rsidR="004226F0">
        <w:rPr>
          <w:rFonts w:ascii="Arial" w:hAnsi="Arial" w:cs="Arial"/>
          <w:color w:val="000000"/>
          <w:sz w:val="22"/>
          <w:szCs w:val="22"/>
        </w:rPr>
        <w:t>e in budgeting, forecasting,</w:t>
      </w:r>
      <w:r w:rsidRPr="005E23AB">
        <w:rPr>
          <w:rFonts w:ascii="Arial" w:hAnsi="Arial" w:cs="Arial"/>
          <w:color w:val="000000"/>
          <w:sz w:val="22"/>
          <w:szCs w:val="22"/>
        </w:rPr>
        <w:t xml:space="preserve"> financial accounting,</w:t>
      </w:r>
      <w:r w:rsidR="004226F0">
        <w:rPr>
          <w:rFonts w:ascii="Arial" w:hAnsi="Arial" w:cs="Arial"/>
          <w:color w:val="000000"/>
          <w:sz w:val="22"/>
          <w:szCs w:val="22"/>
        </w:rPr>
        <w:t xml:space="preserve"> </w:t>
      </w:r>
      <w:r w:rsidR="004226F0" w:rsidRPr="005E23AB">
        <w:rPr>
          <w:rFonts w:ascii="Arial" w:hAnsi="Arial" w:cs="Arial"/>
          <w:color w:val="000000"/>
          <w:sz w:val="22"/>
          <w:szCs w:val="22"/>
        </w:rPr>
        <w:t>interpreting trends, commerci</w:t>
      </w:r>
      <w:r w:rsidR="004226F0">
        <w:rPr>
          <w:rFonts w:ascii="Arial" w:hAnsi="Arial" w:cs="Arial"/>
          <w:color w:val="000000"/>
          <w:sz w:val="22"/>
          <w:szCs w:val="22"/>
        </w:rPr>
        <w:t xml:space="preserve">al analysis of tenders, </w:t>
      </w:r>
      <w:r w:rsidR="004226F0" w:rsidRPr="004226F0">
        <w:rPr>
          <w:rFonts w:ascii="Arial" w:hAnsi="Arial" w:cs="Arial"/>
          <w:sz w:val="22"/>
          <w:szCs w:val="22"/>
        </w:rPr>
        <w:t xml:space="preserve">partnering with Executive Management to implement change management, slash costs and time to enhance efficiency, productivity and strategic visibility of the Finance section functions. </w:t>
      </w:r>
      <w:r w:rsidR="004226F0" w:rsidRPr="000302EF">
        <w:rPr>
          <w:rFonts w:ascii="Arial" w:hAnsi="Arial" w:cs="Arial"/>
        </w:rPr>
        <w:t xml:space="preserve"> </w:t>
      </w:r>
    </w:p>
    <w:p w:rsidR="004226F0" w:rsidRDefault="004226F0" w:rsidP="00401188">
      <w:pPr>
        <w:jc w:val="both"/>
        <w:rPr>
          <w:rFonts w:ascii="Arial" w:hAnsi="Arial" w:cs="Arial"/>
          <w:sz w:val="22"/>
          <w:szCs w:val="22"/>
        </w:rPr>
      </w:pPr>
    </w:p>
    <w:p w:rsidR="00D167EC" w:rsidRDefault="003B061B" w:rsidP="00401188">
      <w:pPr>
        <w:jc w:val="both"/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>M</w:t>
      </w:r>
      <w:r w:rsidR="00A77DB7" w:rsidRPr="005E23AB">
        <w:rPr>
          <w:rFonts w:ascii="Arial" w:hAnsi="Arial" w:cs="Arial"/>
          <w:sz w:val="22"/>
          <w:szCs w:val="22"/>
        </w:rPr>
        <w:t>anag</w:t>
      </w:r>
      <w:r w:rsidRPr="005E23AB">
        <w:rPr>
          <w:rFonts w:ascii="Arial" w:hAnsi="Arial" w:cs="Arial"/>
          <w:sz w:val="22"/>
          <w:szCs w:val="22"/>
        </w:rPr>
        <w:t>ing</w:t>
      </w:r>
      <w:r w:rsidR="00A77DB7" w:rsidRPr="005E23AB">
        <w:rPr>
          <w:rFonts w:ascii="Arial" w:hAnsi="Arial" w:cs="Arial"/>
          <w:sz w:val="22"/>
          <w:szCs w:val="22"/>
        </w:rPr>
        <w:t xml:space="preserve"> multiple accounting projects with complete accuracy and professionalism,</w:t>
      </w:r>
      <w:r w:rsidR="007B5505" w:rsidRPr="005E23AB">
        <w:rPr>
          <w:rFonts w:ascii="Arial" w:hAnsi="Arial" w:cs="Arial"/>
          <w:sz w:val="22"/>
          <w:szCs w:val="22"/>
        </w:rPr>
        <w:t xml:space="preserve"> </w:t>
      </w:r>
      <w:r w:rsidR="004E6F24" w:rsidRPr="005E23AB">
        <w:rPr>
          <w:rFonts w:ascii="Arial" w:hAnsi="Arial" w:cs="Arial"/>
          <w:sz w:val="22"/>
          <w:szCs w:val="22"/>
        </w:rPr>
        <w:t>interprets numbers with acute analytical skill</w:t>
      </w:r>
      <w:r w:rsidRPr="005E23AB">
        <w:rPr>
          <w:rFonts w:ascii="Arial" w:hAnsi="Arial" w:cs="Arial"/>
          <w:sz w:val="22"/>
          <w:szCs w:val="22"/>
        </w:rPr>
        <w:t>, s</w:t>
      </w:r>
      <w:r w:rsidR="00EC2339" w:rsidRPr="005E23AB">
        <w:rPr>
          <w:rFonts w:ascii="Arial" w:hAnsi="Arial" w:cs="Arial"/>
          <w:sz w:val="22"/>
          <w:szCs w:val="22"/>
        </w:rPr>
        <w:t xml:space="preserve">trong </w:t>
      </w:r>
      <w:r w:rsidR="00A77DB7" w:rsidRPr="005E23AB">
        <w:rPr>
          <w:rFonts w:ascii="Arial" w:hAnsi="Arial" w:cs="Arial"/>
          <w:sz w:val="22"/>
          <w:szCs w:val="22"/>
        </w:rPr>
        <w:t xml:space="preserve"> management and organization skills</w:t>
      </w:r>
      <w:r w:rsidR="00424BC5" w:rsidRPr="005E23AB">
        <w:rPr>
          <w:rFonts w:ascii="Arial" w:hAnsi="Arial" w:cs="Arial"/>
          <w:sz w:val="22"/>
          <w:szCs w:val="22"/>
        </w:rPr>
        <w:t>,</w:t>
      </w:r>
      <w:r w:rsidR="00A77DB7" w:rsidRPr="005E23AB">
        <w:rPr>
          <w:rFonts w:ascii="Arial" w:hAnsi="Arial" w:cs="Arial"/>
          <w:sz w:val="22"/>
          <w:szCs w:val="22"/>
        </w:rPr>
        <w:t xml:space="preserve"> </w:t>
      </w:r>
      <w:r w:rsidR="00424BC5" w:rsidRPr="005E23AB">
        <w:rPr>
          <w:rFonts w:ascii="Arial" w:hAnsi="Arial" w:cs="Arial"/>
          <w:sz w:val="22"/>
          <w:szCs w:val="22"/>
        </w:rPr>
        <w:t>u</w:t>
      </w:r>
      <w:r w:rsidR="00881F05" w:rsidRPr="005E23AB">
        <w:rPr>
          <w:rFonts w:ascii="Arial" w:hAnsi="Arial" w:cs="Arial"/>
          <w:sz w:val="22"/>
          <w:szCs w:val="22"/>
        </w:rPr>
        <w:t xml:space="preserve">ncompromising integrity, </w:t>
      </w:r>
      <w:r w:rsidR="00A77DB7" w:rsidRPr="005E23AB">
        <w:rPr>
          <w:rFonts w:ascii="Arial" w:hAnsi="Arial" w:cs="Arial"/>
          <w:sz w:val="22"/>
          <w:szCs w:val="22"/>
        </w:rPr>
        <w:t>decision making, prioritizing, maintaining delivery excellence and dealing with problems firmly and in a timely manner. Team Player with the ability to work cooperatively and collaboratively with all levels of employees, management and external agencies to maximize performance</w:t>
      </w:r>
      <w:r w:rsidR="00007E28">
        <w:rPr>
          <w:rFonts w:ascii="Arial" w:hAnsi="Arial" w:cs="Arial"/>
          <w:sz w:val="22"/>
          <w:szCs w:val="22"/>
        </w:rPr>
        <w:t>.</w:t>
      </w:r>
      <w:r w:rsidR="00FB247A" w:rsidRPr="005E23AB">
        <w:rPr>
          <w:rFonts w:ascii="Arial" w:hAnsi="Arial" w:cs="Arial"/>
          <w:sz w:val="22"/>
          <w:szCs w:val="22"/>
        </w:rPr>
        <w:t xml:space="preserve"> </w:t>
      </w:r>
    </w:p>
    <w:p w:rsidR="00D167EC" w:rsidRPr="005E23AB" w:rsidRDefault="00D167EC" w:rsidP="00C83E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87"/>
        <w:gridCol w:w="3721"/>
        <w:gridCol w:w="3680"/>
      </w:tblGrid>
      <w:tr w:rsidR="00EC2339" w:rsidRPr="005E23AB" w:rsidTr="00616592">
        <w:tc>
          <w:tcPr>
            <w:tcW w:w="10988" w:type="dxa"/>
            <w:gridSpan w:val="3"/>
            <w:shd w:val="clear" w:color="auto" w:fill="C6D9F1" w:themeFill="text2" w:themeFillTint="33"/>
          </w:tcPr>
          <w:p w:rsidR="00EC2339" w:rsidRPr="005E23AB" w:rsidRDefault="00EC2339" w:rsidP="00A77DB7">
            <w:pPr>
              <w:jc w:val="both"/>
              <w:rPr>
                <w:rFonts w:ascii="Arial" w:hAnsi="Arial" w:cs="Arial"/>
                <w:b/>
              </w:rPr>
            </w:pPr>
            <w:r w:rsidRPr="005E23AB">
              <w:rPr>
                <w:rFonts w:ascii="Arial" w:hAnsi="Arial" w:cs="Arial"/>
                <w:b/>
              </w:rPr>
              <w:t>SKILLS</w:t>
            </w:r>
          </w:p>
        </w:tc>
      </w:tr>
      <w:tr w:rsidR="00EC2339" w:rsidRPr="005E23AB" w:rsidTr="00C74CA3">
        <w:tblPrEx>
          <w:shd w:val="clear" w:color="auto" w:fill="auto"/>
        </w:tblPrEx>
        <w:tc>
          <w:tcPr>
            <w:tcW w:w="3587" w:type="dxa"/>
          </w:tcPr>
          <w:p w:rsidR="00EC2339" w:rsidRPr="00C74CA3" w:rsidRDefault="00EC2339" w:rsidP="00C74CA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 xml:space="preserve">Interpret Financial Results </w:t>
            </w:r>
          </w:p>
        </w:tc>
        <w:tc>
          <w:tcPr>
            <w:tcW w:w="3721" w:type="dxa"/>
          </w:tcPr>
          <w:p w:rsidR="00EC2339" w:rsidRPr="00C74CA3" w:rsidRDefault="00EC2339" w:rsidP="00C74CA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>Oracle Financial ERP</w:t>
            </w:r>
          </w:p>
        </w:tc>
        <w:tc>
          <w:tcPr>
            <w:tcW w:w="3680" w:type="dxa"/>
          </w:tcPr>
          <w:p w:rsidR="00EC2339" w:rsidRPr="00C74CA3" w:rsidRDefault="00EC2339" w:rsidP="00C74CA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>Chart of Accounts for ERP</w:t>
            </w:r>
          </w:p>
        </w:tc>
      </w:tr>
      <w:tr w:rsidR="00EC2339" w:rsidRPr="005E23AB" w:rsidTr="00C74CA3">
        <w:tblPrEx>
          <w:shd w:val="clear" w:color="auto" w:fill="auto"/>
        </w:tblPrEx>
        <w:tc>
          <w:tcPr>
            <w:tcW w:w="3587" w:type="dxa"/>
          </w:tcPr>
          <w:p w:rsidR="00EC2339" w:rsidRPr="00C74CA3" w:rsidRDefault="00EC2339" w:rsidP="00C74CA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>Budgeting &amp; Forecasting</w:t>
            </w:r>
          </w:p>
        </w:tc>
        <w:tc>
          <w:tcPr>
            <w:tcW w:w="3721" w:type="dxa"/>
          </w:tcPr>
          <w:p w:rsidR="00EC2339" w:rsidRPr="00C74CA3" w:rsidRDefault="00EC2339" w:rsidP="00C74CA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>Tenders Evaluation</w:t>
            </w:r>
          </w:p>
        </w:tc>
        <w:tc>
          <w:tcPr>
            <w:tcW w:w="3680" w:type="dxa"/>
          </w:tcPr>
          <w:p w:rsidR="00EC2339" w:rsidRPr="00C74CA3" w:rsidRDefault="00EC2339" w:rsidP="00C74CA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>Contracts Administration</w:t>
            </w:r>
          </w:p>
        </w:tc>
      </w:tr>
      <w:tr w:rsidR="00394BFB" w:rsidRPr="005E23AB" w:rsidTr="00C74CA3">
        <w:tblPrEx>
          <w:shd w:val="clear" w:color="auto" w:fill="auto"/>
        </w:tblPrEx>
        <w:tc>
          <w:tcPr>
            <w:tcW w:w="3587" w:type="dxa"/>
          </w:tcPr>
          <w:p w:rsidR="00394BFB" w:rsidRPr="00C74CA3" w:rsidRDefault="00394BFB" w:rsidP="00C74CA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>Change Management</w:t>
            </w:r>
          </w:p>
        </w:tc>
        <w:tc>
          <w:tcPr>
            <w:tcW w:w="3721" w:type="dxa"/>
          </w:tcPr>
          <w:p w:rsidR="00394BFB" w:rsidRPr="00C74CA3" w:rsidRDefault="001556DF" w:rsidP="00C74CA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to End Accounting Process</w:t>
            </w:r>
          </w:p>
        </w:tc>
        <w:tc>
          <w:tcPr>
            <w:tcW w:w="3680" w:type="dxa"/>
          </w:tcPr>
          <w:p w:rsidR="00394BFB" w:rsidRPr="00C74CA3" w:rsidRDefault="00394BFB" w:rsidP="00C74CA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C74CA3">
              <w:rPr>
                <w:rFonts w:ascii="Arial" w:hAnsi="Arial" w:cs="Arial"/>
              </w:rPr>
              <w:t>Variance Analysis</w:t>
            </w:r>
          </w:p>
        </w:tc>
      </w:tr>
    </w:tbl>
    <w:p w:rsidR="00EC2339" w:rsidRPr="005E23AB" w:rsidRDefault="00EC2339" w:rsidP="00F139DF">
      <w:pPr>
        <w:spacing w:after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 w:firstRow="1" w:lastRow="0" w:firstColumn="1" w:lastColumn="0" w:noHBand="0" w:noVBand="0"/>
      </w:tblPr>
      <w:tblGrid>
        <w:gridCol w:w="10980"/>
      </w:tblGrid>
      <w:tr w:rsidR="005638E4" w:rsidRPr="005E23AB" w:rsidTr="00394BFB">
        <w:tc>
          <w:tcPr>
            <w:tcW w:w="10980" w:type="dxa"/>
            <w:shd w:val="clear" w:color="auto" w:fill="DBE5F1"/>
          </w:tcPr>
          <w:p w:rsidR="005638E4" w:rsidRPr="005E23AB" w:rsidRDefault="005638E4" w:rsidP="00812267">
            <w:pPr>
              <w:pStyle w:val="BodyText"/>
              <w:spacing w:after="0"/>
              <w:rPr>
                <w:rFonts w:ascii="Arial" w:hAnsi="Arial" w:cs="Arial"/>
                <w:b/>
                <w:smallCaps/>
              </w:rPr>
            </w:pPr>
            <w:r w:rsidRPr="005E23AB">
              <w:rPr>
                <w:rFonts w:ascii="Arial" w:hAnsi="Arial" w:cs="Arial"/>
                <w:sz w:val="22"/>
                <w:szCs w:val="22"/>
              </w:rPr>
              <w:br w:type="page"/>
            </w:r>
            <w:r w:rsidR="005246AF" w:rsidRPr="005E23AB">
              <w:rPr>
                <w:rFonts w:ascii="Arial" w:hAnsi="Arial" w:cs="Arial"/>
                <w:b/>
                <w:smallCaps/>
                <w:sz w:val="22"/>
                <w:szCs w:val="22"/>
              </w:rPr>
              <w:t>KEY ACCOMPLISHMENTS</w:t>
            </w:r>
          </w:p>
        </w:tc>
      </w:tr>
    </w:tbl>
    <w:p w:rsidR="005638E4" w:rsidRPr="005E23AB" w:rsidRDefault="005638E4" w:rsidP="005638E4">
      <w:pPr>
        <w:pStyle w:val="ListParagraph"/>
        <w:ind w:left="0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550"/>
        <w:gridCol w:w="5430"/>
      </w:tblGrid>
      <w:tr w:rsidR="00EC2339" w:rsidRPr="005E23AB" w:rsidTr="00394BFB">
        <w:tc>
          <w:tcPr>
            <w:tcW w:w="555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3"/>
              </w:numPr>
              <w:spacing w:after="60"/>
              <w:jc w:val="both"/>
              <w:outlineLvl w:val="0"/>
              <w:rPr>
                <w:rFonts w:ascii="Arial" w:hAnsi="Arial" w:cs="Arial"/>
                <w:bCs/>
              </w:rPr>
            </w:pPr>
            <w:r w:rsidRPr="005E23AB">
              <w:rPr>
                <w:rFonts w:ascii="Arial" w:hAnsi="Arial" w:cs="Arial"/>
                <w:bCs/>
              </w:rPr>
              <w:t xml:space="preserve">Increased 75% efficiency by </w:t>
            </w:r>
            <w:proofErr w:type="gramStart"/>
            <w:r w:rsidRPr="005E23AB">
              <w:rPr>
                <w:rFonts w:ascii="Arial" w:hAnsi="Arial" w:cs="Arial"/>
                <w:bCs/>
              </w:rPr>
              <w:t>slashing  Supplier</w:t>
            </w:r>
            <w:proofErr w:type="gramEnd"/>
            <w:r w:rsidRPr="005E23AB">
              <w:rPr>
                <w:rFonts w:ascii="Arial" w:hAnsi="Arial" w:cs="Arial"/>
                <w:bCs/>
              </w:rPr>
              <w:t xml:space="preserve"> Invoices Confirmation process   from 20 days to 5 days. </w:t>
            </w:r>
          </w:p>
        </w:tc>
        <w:tc>
          <w:tcPr>
            <w:tcW w:w="543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5"/>
              </w:numPr>
              <w:spacing w:after="60"/>
              <w:jc w:val="both"/>
              <w:outlineLvl w:val="0"/>
              <w:rPr>
                <w:rFonts w:ascii="Arial" w:hAnsi="Arial" w:cs="Arial"/>
                <w:b/>
              </w:rPr>
            </w:pPr>
            <w:r w:rsidRPr="005E23AB">
              <w:rPr>
                <w:rFonts w:ascii="Arial" w:hAnsi="Arial" w:cs="Arial"/>
              </w:rPr>
              <w:t>Enhanced supplier trust and decreased suppliers emails and telephone calls by over 30</w:t>
            </w:r>
            <w:proofErr w:type="gramStart"/>
            <w:r w:rsidRPr="005E23AB">
              <w:rPr>
                <w:rFonts w:ascii="Arial" w:hAnsi="Arial" w:cs="Arial"/>
              </w:rPr>
              <w:t>%  by</w:t>
            </w:r>
            <w:proofErr w:type="gramEnd"/>
            <w:r w:rsidRPr="005E23AB">
              <w:rPr>
                <w:rFonts w:ascii="Arial" w:hAnsi="Arial" w:cs="Arial"/>
              </w:rPr>
              <w:t xml:space="preserve"> implementing supplier portal that  allowed  suppliers to view their invoice payment status.</w:t>
            </w:r>
          </w:p>
        </w:tc>
      </w:tr>
      <w:tr w:rsidR="00EC2339" w:rsidRPr="005E23AB" w:rsidTr="00394BFB">
        <w:tc>
          <w:tcPr>
            <w:tcW w:w="555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3"/>
              </w:numPr>
              <w:spacing w:after="60"/>
              <w:jc w:val="both"/>
              <w:outlineLvl w:val="0"/>
              <w:rPr>
                <w:rFonts w:ascii="Arial" w:hAnsi="Arial" w:cs="Arial"/>
                <w:b/>
              </w:rPr>
            </w:pPr>
            <w:r w:rsidRPr="005E23AB">
              <w:rPr>
                <w:rFonts w:ascii="Arial" w:eastAsia="Times New Roman" w:hAnsi="Arial" w:cs="Arial"/>
                <w:color w:val="auto"/>
              </w:rPr>
              <w:t xml:space="preserve">Achieved 5% cost savings in supplier </w:t>
            </w:r>
            <w:proofErr w:type="gramStart"/>
            <w:r w:rsidRPr="005E23AB">
              <w:rPr>
                <w:rFonts w:ascii="Arial" w:eastAsia="Times New Roman" w:hAnsi="Arial" w:cs="Arial"/>
                <w:color w:val="auto"/>
              </w:rPr>
              <w:t>pricing  by</w:t>
            </w:r>
            <w:proofErr w:type="gramEnd"/>
            <w:r w:rsidRPr="005E23AB">
              <w:rPr>
                <w:rFonts w:ascii="Arial" w:eastAsia="Times New Roman" w:hAnsi="Arial" w:cs="Arial"/>
                <w:color w:val="auto"/>
              </w:rPr>
              <w:t xml:space="preserve"> reduced payable number of days from 75 to 30 and achieved.</w:t>
            </w:r>
          </w:p>
        </w:tc>
        <w:tc>
          <w:tcPr>
            <w:tcW w:w="543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5"/>
              </w:numPr>
              <w:spacing w:after="60"/>
              <w:jc w:val="both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5E23AB">
              <w:rPr>
                <w:rFonts w:ascii="Arial" w:hAnsi="Arial" w:cs="Arial"/>
                <w:bCs/>
              </w:rPr>
              <w:t>Implemented</w:t>
            </w:r>
            <w:r w:rsidRPr="005E23AB">
              <w:rPr>
                <w:rFonts w:ascii="Arial" w:hAnsi="Arial" w:cs="Arial"/>
                <w:b/>
              </w:rPr>
              <w:t xml:space="preserve">  </w:t>
            </w:r>
            <w:r w:rsidRPr="005E23AB">
              <w:rPr>
                <w:rFonts w:ascii="Arial" w:eastAsia="Times New Roman" w:hAnsi="Arial" w:cs="Arial"/>
                <w:color w:val="auto"/>
              </w:rPr>
              <w:t>Memorandum</w:t>
            </w:r>
            <w:proofErr w:type="gramEnd"/>
            <w:r w:rsidRPr="005E23AB">
              <w:rPr>
                <w:rFonts w:ascii="Arial" w:eastAsia="Times New Roman" w:hAnsi="Arial" w:cs="Arial"/>
                <w:color w:val="auto"/>
              </w:rPr>
              <w:t xml:space="preserve"> of Understanding between Internal Audit and Finance which reduced the audit time from seven days to 2 days and increased efficiency by 71%.</w:t>
            </w:r>
          </w:p>
        </w:tc>
      </w:tr>
      <w:tr w:rsidR="00EC2339" w:rsidRPr="005E23AB" w:rsidTr="00394BFB">
        <w:tc>
          <w:tcPr>
            <w:tcW w:w="555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4"/>
              </w:numPr>
              <w:spacing w:after="60"/>
              <w:jc w:val="both"/>
              <w:outlineLvl w:val="0"/>
              <w:rPr>
                <w:rFonts w:ascii="Arial" w:hAnsi="Arial" w:cs="Arial"/>
                <w:b/>
              </w:rPr>
            </w:pPr>
            <w:proofErr w:type="gramStart"/>
            <w:r w:rsidRPr="005E23AB">
              <w:rPr>
                <w:rFonts w:ascii="Arial" w:hAnsi="Arial" w:cs="Arial"/>
              </w:rPr>
              <w:t>Evaluated  Dubai</w:t>
            </w:r>
            <w:proofErr w:type="gramEnd"/>
            <w:r w:rsidRPr="005E23AB">
              <w:rPr>
                <w:rFonts w:ascii="Arial" w:hAnsi="Arial" w:cs="Arial"/>
              </w:rPr>
              <w:t xml:space="preserve"> Airports Expansion Projects Tenders worth AED four Billion, recommended  negotiation for discounts between 5 and 10% .</w:t>
            </w:r>
          </w:p>
        </w:tc>
        <w:tc>
          <w:tcPr>
            <w:tcW w:w="543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5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Lead team to track Dubai Airports Expansion Projects Assets worth AED Six  Billion for upload and  in  Oracle ERP Fixed Assets Register;</w:t>
            </w:r>
          </w:p>
          <w:p w:rsidR="00EC2339" w:rsidRPr="005E23AB" w:rsidRDefault="00EC2339" w:rsidP="005A48D9">
            <w:pPr>
              <w:pStyle w:val="ListParagraph"/>
              <w:spacing w:after="60"/>
              <w:ind w:left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EC2339" w:rsidRPr="005E23AB" w:rsidTr="00394BFB">
        <w:tc>
          <w:tcPr>
            <w:tcW w:w="555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4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eastAsia="Times New Roman" w:hAnsi="Arial" w:cs="Arial"/>
                <w:color w:val="auto"/>
              </w:rPr>
              <w:t>Saved time by over 50% and increased efficiency through developing standard templates for tenders and contracts.</w:t>
            </w:r>
          </w:p>
        </w:tc>
        <w:tc>
          <w:tcPr>
            <w:tcW w:w="5430" w:type="dxa"/>
          </w:tcPr>
          <w:p w:rsidR="00EC2339" w:rsidRPr="005E23AB" w:rsidRDefault="00EC2339" w:rsidP="00C74CA3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jc w:val="both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5E23AB">
              <w:rPr>
                <w:rFonts w:ascii="Arial" w:eastAsia="Times New Roman" w:hAnsi="Arial" w:cs="Arial"/>
                <w:color w:val="auto"/>
              </w:rPr>
              <w:t>Played a key role in finalizing the Chart  of Accounts for implementing the Oracle Financial ERP related Account Distribution;</w:t>
            </w:r>
          </w:p>
          <w:p w:rsidR="00EC2339" w:rsidRPr="005E23AB" w:rsidRDefault="00EC2339" w:rsidP="00EC2339">
            <w:pPr>
              <w:pStyle w:val="ListParagraph"/>
              <w:spacing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EC2339" w:rsidRPr="005E23AB" w:rsidRDefault="00EC2339" w:rsidP="007F149F">
      <w:p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</w:p>
    <w:p w:rsidR="00CE076D" w:rsidRPr="005E23AB" w:rsidRDefault="00CE076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128FE" w:rsidRDefault="009128F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9238B" w:rsidRPr="005E23AB" w:rsidRDefault="00D9238B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 w:firstRow="1" w:lastRow="0" w:firstColumn="1" w:lastColumn="0" w:noHBand="0" w:noVBand="0"/>
      </w:tblPr>
      <w:tblGrid>
        <w:gridCol w:w="10980"/>
      </w:tblGrid>
      <w:tr w:rsidR="003725F9" w:rsidRPr="005E23AB" w:rsidTr="00D9238B">
        <w:trPr>
          <w:trHeight w:val="310"/>
        </w:trPr>
        <w:tc>
          <w:tcPr>
            <w:tcW w:w="10980" w:type="dxa"/>
            <w:shd w:val="clear" w:color="auto" w:fill="DBE5F1"/>
          </w:tcPr>
          <w:p w:rsidR="003725F9" w:rsidRPr="005E23AB" w:rsidRDefault="003725F9" w:rsidP="005A48D9">
            <w:pPr>
              <w:pStyle w:val="BodyText"/>
              <w:spacing w:after="0"/>
              <w:rPr>
                <w:rFonts w:ascii="Arial" w:hAnsi="Arial" w:cs="Arial"/>
                <w:b/>
                <w:smallCaps/>
              </w:rPr>
            </w:pPr>
            <w:r w:rsidRPr="005E23AB">
              <w:rPr>
                <w:rFonts w:ascii="Arial" w:hAnsi="Arial" w:cs="Arial"/>
                <w:b/>
                <w:smallCaps/>
                <w:sz w:val="22"/>
                <w:szCs w:val="22"/>
              </w:rPr>
              <w:t>PROFESSIONAL EXPERIENCE</w:t>
            </w:r>
          </w:p>
        </w:tc>
      </w:tr>
    </w:tbl>
    <w:p w:rsidR="00936D50" w:rsidRPr="005E23AB" w:rsidRDefault="00936D50" w:rsidP="00936D5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936D50" w:rsidRPr="005E23AB" w:rsidTr="00D9238B">
        <w:trPr>
          <w:trHeight w:val="755"/>
        </w:trPr>
        <w:tc>
          <w:tcPr>
            <w:tcW w:w="11070" w:type="dxa"/>
            <w:shd w:val="clear" w:color="auto" w:fill="B8CCE4" w:themeFill="accent1" w:themeFillTint="66"/>
          </w:tcPr>
          <w:p w:rsidR="00936D50" w:rsidRPr="005E23AB" w:rsidRDefault="00936D50" w:rsidP="007F149F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Dubai Airports, UAE                                                                                                   June 1993 to Current</w:t>
            </w:r>
          </w:p>
          <w:p w:rsidR="00936D50" w:rsidRPr="005E23AB" w:rsidRDefault="00936D50" w:rsidP="007F149F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Joined as Accountant and Promoted as Manager effective Nov 2008</w:t>
            </w:r>
          </w:p>
        </w:tc>
      </w:tr>
      <w:tr w:rsidR="00B34C1A" w:rsidRPr="005E23AB" w:rsidTr="00D9238B">
        <w:trPr>
          <w:trHeight w:val="400"/>
        </w:trPr>
        <w:tc>
          <w:tcPr>
            <w:tcW w:w="11070" w:type="dxa"/>
          </w:tcPr>
          <w:p w:rsidR="00B34C1A" w:rsidRPr="005E23AB" w:rsidRDefault="00B34C1A" w:rsidP="007F149F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</w:p>
          <w:p w:rsidR="00B34C1A" w:rsidRPr="005E23AB" w:rsidRDefault="00B34C1A" w:rsidP="007F149F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Key Responsibilities:</w:t>
            </w:r>
          </w:p>
          <w:p w:rsidR="00B34C1A" w:rsidRPr="005E23AB" w:rsidRDefault="00B34C1A" w:rsidP="00C74CA3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Manage team of five members with responsibility of handling payments more than AED One billion per annum, ensuring effective and accurate numbers provided for a fair and correct view of trade payables, accruals and provisions in financial reporting;</w:t>
            </w:r>
          </w:p>
          <w:p w:rsidR="00CD5A71" w:rsidRDefault="00B34C1A" w:rsidP="006A7406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CD5A71">
              <w:rPr>
                <w:rFonts w:ascii="Arial" w:hAnsi="Arial" w:cs="Arial"/>
              </w:rPr>
              <w:t xml:space="preserve">Monitor  special projects worth AED Three Hundred Million on an annual basis </w:t>
            </w:r>
            <w:r w:rsidR="00CD5A71">
              <w:rPr>
                <w:rFonts w:ascii="Arial" w:hAnsi="Arial" w:cs="Arial"/>
              </w:rPr>
              <w:t>for budget utilization, work progress;</w:t>
            </w:r>
          </w:p>
          <w:p w:rsidR="00B34C1A" w:rsidRPr="00CD5A71" w:rsidRDefault="00CD5A71" w:rsidP="006A7406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</w:t>
            </w:r>
            <w:r w:rsidR="00394BFB" w:rsidRPr="00CD5A71">
              <w:rPr>
                <w:rFonts w:ascii="Arial" w:hAnsi="Arial" w:cs="Arial"/>
              </w:rPr>
              <w:t xml:space="preserve"> commercial offers on tenders; </w:t>
            </w:r>
          </w:p>
          <w:p w:rsidR="00B34C1A" w:rsidRPr="005E23AB" w:rsidRDefault="00B34C1A" w:rsidP="00C74CA3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Aid legal team for finalizing the commercial terms of the contract;</w:t>
            </w:r>
          </w:p>
          <w:p w:rsidR="00B34C1A" w:rsidRPr="005E23AB" w:rsidRDefault="00B34C1A" w:rsidP="00C74CA3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Examine, review and develop financial policies and procedures;</w:t>
            </w:r>
          </w:p>
          <w:p w:rsidR="00B34C1A" w:rsidRPr="005E23AB" w:rsidRDefault="00B34C1A" w:rsidP="00C74CA3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 xml:space="preserve">Oversee general ledger transaction activities, review </w:t>
            </w:r>
            <w:r w:rsidR="00394BFB">
              <w:rPr>
                <w:rFonts w:ascii="Arial" w:hAnsi="Arial" w:cs="Arial"/>
              </w:rPr>
              <w:t>goods received notes recorded in store but</w:t>
            </w:r>
            <w:r w:rsidRPr="005E23AB">
              <w:rPr>
                <w:rFonts w:ascii="Arial" w:hAnsi="Arial" w:cs="Arial"/>
              </w:rPr>
              <w:t xml:space="preserve"> not invoiced, monthly commitments, open Purchase Orders, trade payables, accruals; </w:t>
            </w:r>
          </w:p>
          <w:p w:rsidR="00B34C1A" w:rsidRPr="005E23AB" w:rsidRDefault="00B34C1A" w:rsidP="00C74CA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Liaise with External Audit, Internal Audit, Government Audit for clarification on transactions and account movements;</w:t>
            </w:r>
          </w:p>
          <w:p w:rsidR="00B34C1A" w:rsidRPr="005E23AB" w:rsidRDefault="00C74CA3" w:rsidP="00C74CA3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team for </w:t>
            </w:r>
            <w:r w:rsidR="00B34C1A" w:rsidRPr="005E23AB">
              <w:rPr>
                <w:rFonts w:ascii="Arial" w:hAnsi="Arial" w:cs="Arial"/>
              </w:rPr>
              <w:t xml:space="preserve"> accounts payable automation process;</w:t>
            </w:r>
          </w:p>
          <w:p w:rsidR="00B34C1A" w:rsidRPr="005E23AB" w:rsidRDefault="003B061B" w:rsidP="00C74CA3">
            <w:pPr>
              <w:pStyle w:val="ListParagraph"/>
              <w:numPr>
                <w:ilvl w:val="0"/>
                <w:numId w:val="26"/>
              </w:num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Facilitate prepar</w:t>
            </w:r>
            <w:r w:rsidR="00C74CA3">
              <w:rPr>
                <w:rFonts w:ascii="Arial" w:hAnsi="Arial" w:cs="Arial"/>
              </w:rPr>
              <w:t xml:space="preserve">ation </w:t>
            </w:r>
            <w:proofErr w:type="gramStart"/>
            <w:r w:rsidR="00C74CA3">
              <w:rPr>
                <w:rFonts w:ascii="Arial" w:hAnsi="Arial" w:cs="Arial"/>
              </w:rPr>
              <w:t>of  budgets</w:t>
            </w:r>
            <w:proofErr w:type="gramEnd"/>
            <w:r w:rsidR="00C74CA3">
              <w:rPr>
                <w:rFonts w:ascii="Arial" w:hAnsi="Arial" w:cs="Arial"/>
              </w:rPr>
              <w:t xml:space="preserve"> and forecasts.</w:t>
            </w:r>
          </w:p>
          <w:p w:rsidR="00B34C1A" w:rsidRPr="005E23AB" w:rsidRDefault="00B34C1A" w:rsidP="007F149F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936D50" w:rsidRPr="005E23AB" w:rsidRDefault="00936D50" w:rsidP="007F149F">
      <w:p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B34C1A" w:rsidRPr="005E23AB" w:rsidTr="000204D1">
        <w:trPr>
          <w:trHeight w:val="377"/>
        </w:trPr>
        <w:tc>
          <w:tcPr>
            <w:tcW w:w="11070" w:type="dxa"/>
            <w:shd w:val="clear" w:color="auto" w:fill="B8CCE4" w:themeFill="accent1" w:themeFillTint="66"/>
          </w:tcPr>
          <w:p w:rsidR="00B34C1A" w:rsidRPr="005E23AB" w:rsidRDefault="0060555A" w:rsidP="007F149F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Hassan Group of Companies - Oman</w:t>
            </w:r>
            <w:r w:rsidR="00B34C1A" w:rsidRPr="005E23AB">
              <w:rPr>
                <w:rFonts w:ascii="Arial" w:hAnsi="Arial" w:cs="Arial"/>
              </w:rPr>
              <w:t xml:space="preserve">                                                                            1991-1992 </w:t>
            </w:r>
          </w:p>
          <w:p w:rsidR="00B34C1A" w:rsidRPr="005E23AB" w:rsidRDefault="00B34C1A" w:rsidP="007F149F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Divisional Accountant</w:t>
            </w:r>
          </w:p>
        </w:tc>
      </w:tr>
      <w:tr w:rsidR="004871E9" w:rsidRPr="005E23AB" w:rsidTr="000204D1">
        <w:trPr>
          <w:trHeight w:val="2807"/>
        </w:trPr>
        <w:tc>
          <w:tcPr>
            <w:tcW w:w="11070" w:type="dxa"/>
          </w:tcPr>
          <w:p w:rsidR="004871E9" w:rsidRPr="005E23AB" w:rsidRDefault="004871E9" w:rsidP="004871E9">
            <w:pPr>
              <w:jc w:val="both"/>
              <w:rPr>
                <w:rFonts w:ascii="Arial" w:hAnsi="Arial" w:cs="Arial"/>
              </w:rPr>
            </w:pPr>
          </w:p>
          <w:p w:rsidR="00B34C1A" w:rsidRPr="005E23AB" w:rsidRDefault="00B34C1A" w:rsidP="004871E9">
            <w:pPr>
              <w:jc w:val="both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Key Responsibilities:</w:t>
            </w:r>
          </w:p>
          <w:p w:rsidR="00B34C1A" w:rsidRPr="005E23AB" w:rsidRDefault="00B34C1A" w:rsidP="004871E9">
            <w:pPr>
              <w:jc w:val="both"/>
              <w:rPr>
                <w:rFonts w:ascii="Arial" w:hAnsi="Arial" w:cs="Arial"/>
              </w:rPr>
            </w:pPr>
          </w:p>
          <w:p w:rsidR="00936D50" w:rsidRPr="005E23AB" w:rsidRDefault="00936D50" w:rsidP="0060555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 xml:space="preserve">Supervised </w:t>
            </w:r>
            <w:r w:rsidR="0060555A">
              <w:rPr>
                <w:rFonts w:ascii="Arial" w:hAnsi="Arial" w:cs="Arial"/>
              </w:rPr>
              <w:t xml:space="preserve">finalization </w:t>
            </w:r>
            <w:r w:rsidRPr="005E23AB">
              <w:rPr>
                <w:rFonts w:ascii="Arial" w:hAnsi="Arial" w:cs="Arial"/>
              </w:rPr>
              <w:t>monthly, half yearly,  Annual Financial Accounting;</w:t>
            </w:r>
          </w:p>
          <w:p w:rsidR="00936D50" w:rsidRPr="005E23AB" w:rsidRDefault="00936D50" w:rsidP="0060555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Liaised with Internal Audit and External Audit and provided clarification on transactions and balance sheet accounts movements;</w:t>
            </w:r>
          </w:p>
          <w:p w:rsidR="00936D50" w:rsidRPr="005E23AB" w:rsidRDefault="00936D50" w:rsidP="0060555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Created Monthly Financial Reports highlighting variance, operational data related to Accounts Receivables, Accounts Payable, Banking Facilities;</w:t>
            </w:r>
          </w:p>
          <w:p w:rsidR="00936D50" w:rsidRPr="005E23AB" w:rsidRDefault="0060555A" w:rsidP="0060555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</w:t>
            </w:r>
            <w:r w:rsidR="00936D50" w:rsidRPr="005E23AB">
              <w:rPr>
                <w:rFonts w:ascii="Arial" w:hAnsi="Arial" w:cs="Arial"/>
              </w:rPr>
              <w:t xml:space="preserve"> Annual Budget –monthly, quarterly, semi-annually and annually;</w:t>
            </w:r>
          </w:p>
          <w:p w:rsidR="00936D50" w:rsidRPr="005E23AB" w:rsidRDefault="0060555A" w:rsidP="0060555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</w:t>
            </w:r>
            <w:r w:rsidR="00936D50" w:rsidRPr="005E23AB">
              <w:rPr>
                <w:rFonts w:ascii="Arial" w:hAnsi="Arial" w:cs="Arial"/>
              </w:rPr>
              <w:t xml:space="preserve"> Inter Company Reconciliation, Inventory Reconciliation.</w:t>
            </w:r>
          </w:p>
          <w:p w:rsidR="00936D50" w:rsidRPr="005E23AB" w:rsidRDefault="00936D50" w:rsidP="00936D50">
            <w:pPr>
              <w:rPr>
                <w:rFonts w:ascii="Arial" w:hAnsi="Arial" w:cs="Arial"/>
                <w:b/>
                <w:color w:val="000000"/>
              </w:rPr>
            </w:pPr>
          </w:p>
          <w:p w:rsidR="00936D50" w:rsidRPr="005E23AB" w:rsidRDefault="00936D50" w:rsidP="00936D50">
            <w:pPr>
              <w:rPr>
                <w:rFonts w:ascii="Arial" w:hAnsi="Arial" w:cs="Arial"/>
                <w:b/>
                <w:color w:val="000000"/>
              </w:rPr>
            </w:pPr>
            <w:r w:rsidRPr="005E23AB">
              <w:rPr>
                <w:rFonts w:ascii="Arial" w:hAnsi="Arial" w:cs="Arial"/>
                <w:b/>
                <w:color w:val="000000"/>
              </w:rPr>
              <w:t>Accomplishment</w:t>
            </w:r>
          </w:p>
          <w:p w:rsidR="00936D50" w:rsidRPr="005E23AB" w:rsidRDefault="00936D50" w:rsidP="00936D50">
            <w:pPr>
              <w:rPr>
                <w:rFonts w:ascii="Arial" w:hAnsi="Arial" w:cs="Arial"/>
              </w:rPr>
            </w:pPr>
          </w:p>
          <w:p w:rsidR="00936D50" w:rsidRPr="005E23AB" w:rsidRDefault="00936D50" w:rsidP="0060555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Implemented Computer Based Accounting;</w:t>
            </w:r>
          </w:p>
          <w:p w:rsidR="00936D50" w:rsidRPr="005E23AB" w:rsidRDefault="00936D50" w:rsidP="0060555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Led the Accountants team to compile 6 months Financial Statement back log in 30 days.</w:t>
            </w:r>
          </w:p>
          <w:p w:rsidR="00936D50" w:rsidRPr="005E23AB" w:rsidRDefault="00936D50" w:rsidP="004871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871E9" w:rsidRPr="005E23AB" w:rsidRDefault="004871E9" w:rsidP="004871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B34C1A" w:rsidRPr="005E23AB" w:rsidTr="000204D1">
        <w:trPr>
          <w:trHeight w:val="827"/>
        </w:trPr>
        <w:tc>
          <w:tcPr>
            <w:tcW w:w="11070" w:type="dxa"/>
            <w:shd w:val="clear" w:color="auto" w:fill="B8CCE4" w:themeFill="accent1" w:themeFillTint="66"/>
          </w:tcPr>
          <w:p w:rsidR="00B34C1A" w:rsidRPr="005E23AB" w:rsidRDefault="0060555A" w:rsidP="005A48D9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Larsen and Toubro Ltd, India</w:t>
            </w:r>
            <w:r w:rsidR="00616592" w:rsidRPr="005E23AB">
              <w:rPr>
                <w:rFonts w:ascii="Arial" w:hAnsi="Arial" w:cs="Arial"/>
              </w:rPr>
              <w:t xml:space="preserve">                                                                                         1984 to 1990</w:t>
            </w:r>
            <w:r w:rsidR="00B34C1A" w:rsidRPr="005E23AB">
              <w:rPr>
                <w:rFonts w:ascii="Arial" w:hAnsi="Arial" w:cs="Arial"/>
              </w:rPr>
              <w:t xml:space="preserve"> </w:t>
            </w:r>
          </w:p>
          <w:p w:rsidR="00B34C1A" w:rsidRPr="005E23AB" w:rsidRDefault="00616592" w:rsidP="005A48D9">
            <w:pPr>
              <w:spacing w:after="60"/>
              <w:jc w:val="both"/>
              <w:outlineLvl w:val="0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Accounts Supervisor</w:t>
            </w:r>
          </w:p>
        </w:tc>
      </w:tr>
      <w:tr w:rsidR="00616592" w:rsidRPr="005E23AB" w:rsidTr="000204D1">
        <w:trPr>
          <w:trHeight w:val="267"/>
        </w:trPr>
        <w:tc>
          <w:tcPr>
            <w:tcW w:w="11070" w:type="dxa"/>
          </w:tcPr>
          <w:p w:rsidR="00616592" w:rsidRPr="005E23AB" w:rsidRDefault="00616592" w:rsidP="004871E9">
            <w:pPr>
              <w:jc w:val="both"/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Key Responsibilities:</w:t>
            </w:r>
          </w:p>
          <w:p w:rsidR="00616592" w:rsidRPr="005E23AB" w:rsidRDefault="00616592" w:rsidP="004871E9">
            <w:pPr>
              <w:jc w:val="both"/>
              <w:rPr>
                <w:rFonts w:ascii="Arial" w:hAnsi="Arial" w:cs="Arial"/>
              </w:rPr>
            </w:pPr>
          </w:p>
          <w:p w:rsidR="00616592" w:rsidRPr="005E23AB" w:rsidRDefault="00616592" w:rsidP="006055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Prepared Projects Job Cost Report;</w:t>
            </w:r>
          </w:p>
          <w:p w:rsidR="00616592" w:rsidRPr="005E23AB" w:rsidRDefault="00616592" w:rsidP="006055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Projects Inventory Reconciliation;</w:t>
            </w:r>
          </w:p>
          <w:p w:rsidR="00616592" w:rsidRPr="005E23AB" w:rsidRDefault="00616592" w:rsidP="006055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Processed Contractors payments;</w:t>
            </w:r>
          </w:p>
          <w:p w:rsidR="00616592" w:rsidRPr="005E23AB" w:rsidRDefault="00616592" w:rsidP="006055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E23AB">
              <w:rPr>
                <w:rFonts w:ascii="Arial" w:hAnsi="Arial" w:cs="Arial"/>
              </w:rPr>
              <w:t>Reconciled balances between General Ledger and Projects</w:t>
            </w:r>
          </w:p>
          <w:p w:rsidR="00616592" w:rsidRPr="005E23AB" w:rsidRDefault="00616592" w:rsidP="004871E9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592" w:rsidRPr="00810886" w:rsidRDefault="00616592" w:rsidP="00616592">
      <w:pPr>
        <w:pStyle w:val="ListParagraph"/>
        <w:spacing w:after="60" w:line="276" w:lineRule="auto"/>
        <w:ind w:left="360"/>
        <w:rPr>
          <w:rFonts w:ascii="Candara" w:eastAsia="Times New Roman" w:hAnsi="Candara" w:cs="Calibri"/>
          <w:color w:val="auto"/>
          <w:szCs w:val="22"/>
        </w:rPr>
      </w:pPr>
    </w:p>
    <w:p w:rsidR="005638E4" w:rsidRPr="00C058D6" w:rsidRDefault="005638E4" w:rsidP="005638E4">
      <w:pPr>
        <w:jc w:val="both"/>
        <w:rPr>
          <w:rFonts w:ascii="Century Gothic" w:hAnsi="Century Gothic" w:cs="Calibri"/>
          <w:bCs/>
          <w:sz w:val="10"/>
          <w:szCs w:val="10"/>
        </w:rPr>
      </w:pPr>
    </w:p>
    <w:sectPr w:rsidR="005638E4" w:rsidRPr="00C058D6" w:rsidSect="00307890">
      <w:pgSz w:w="11906" w:h="16838" w:code="9"/>
      <w:pgMar w:top="567" w:right="567" w:bottom="567" w:left="567" w:header="0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79"/>
    <w:multiLevelType w:val="hybridMultilevel"/>
    <w:tmpl w:val="6024B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EF5"/>
    <w:multiLevelType w:val="hybridMultilevel"/>
    <w:tmpl w:val="378A0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1C4"/>
    <w:multiLevelType w:val="hybridMultilevel"/>
    <w:tmpl w:val="E1DC41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8582F"/>
    <w:multiLevelType w:val="hybridMultilevel"/>
    <w:tmpl w:val="911C6C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04C3F"/>
    <w:multiLevelType w:val="hybridMultilevel"/>
    <w:tmpl w:val="83D05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6C1A"/>
    <w:multiLevelType w:val="hybridMultilevel"/>
    <w:tmpl w:val="D518A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13F8"/>
    <w:multiLevelType w:val="hybridMultilevel"/>
    <w:tmpl w:val="7D105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362B7"/>
    <w:multiLevelType w:val="hybridMultilevel"/>
    <w:tmpl w:val="7F86C9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04A3E"/>
    <w:multiLevelType w:val="hybridMultilevel"/>
    <w:tmpl w:val="E6F87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75396"/>
    <w:multiLevelType w:val="hybridMultilevel"/>
    <w:tmpl w:val="E340C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B5085"/>
    <w:multiLevelType w:val="hybridMultilevel"/>
    <w:tmpl w:val="9782C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12303"/>
    <w:multiLevelType w:val="hybridMultilevel"/>
    <w:tmpl w:val="E39C7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36137"/>
    <w:multiLevelType w:val="hybridMultilevel"/>
    <w:tmpl w:val="9572B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32AA"/>
    <w:multiLevelType w:val="hybridMultilevel"/>
    <w:tmpl w:val="C2D27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74E5"/>
    <w:multiLevelType w:val="hybridMultilevel"/>
    <w:tmpl w:val="779289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893F79"/>
    <w:multiLevelType w:val="hybridMultilevel"/>
    <w:tmpl w:val="91804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55A16"/>
    <w:multiLevelType w:val="hybridMultilevel"/>
    <w:tmpl w:val="9FD08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21B9E"/>
    <w:multiLevelType w:val="hybridMultilevel"/>
    <w:tmpl w:val="589CD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A0634"/>
    <w:multiLevelType w:val="hybridMultilevel"/>
    <w:tmpl w:val="3B40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E2B7F"/>
    <w:multiLevelType w:val="hybridMultilevel"/>
    <w:tmpl w:val="BE7AE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9558B"/>
    <w:multiLevelType w:val="hybridMultilevel"/>
    <w:tmpl w:val="7EEA45D2"/>
    <w:lvl w:ilvl="0" w:tplc="D728DB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07D1C"/>
    <w:multiLevelType w:val="hybridMultilevel"/>
    <w:tmpl w:val="EF124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32070"/>
    <w:multiLevelType w:val="hybridMultilevel"/>
    <w:tmpl w:val="2BEA2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6975"/>
    <w:multiLevelType w:val="hybridMultilevel"/>
    <w:tmpl w:val="0C94D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53BB6"/>
    <w:multiLevelType w:val="hybridMultilevel"/>
    <w:tmpl w:val="EB887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F55AE"/>
    <w:multiLevelType w:val="hybridMultilevel"/>
    <w:tmpl w:val="D16483C4"/>
    <w:lvl w:ilvl="0" w:tplc="D728DB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24FCC"/>
    <w:multiLevelType w:val="hybridMultilevel"/>
    <w:tmpl w:val="23C6D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04387"/>
    <w:multiLevelType w:val="hybridMultilevel"/>
    <w:tmpl w:val="B0F2A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B63E9"/>
    <w:multiLevelType w:val="hybridMultilevel"/>
    <w:tmpl w:val="4E56B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22"/>
  </w:num>
  <w:num w:numId="5">
    <w:abstractNumId w:val="12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21"/>
  </w:num>
  <w:num w:numId="11">
    <w:abstractNumId w:val="6"/>
  </w:num>
  <w:num w:numId="12">
    <w:abstractNumId w:val="26"/>
  </w:num>
  <w:num w:numId="13">
    <w:abstractNumId w:val="23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  <w:num w:numId="18">
    <w:abstractNumId w:val="2"/>
  </w:num>
  <w:num w:numId="19">
    <w:abstractNumId w:val="14"/>
  </w:num>
  <w:num w:numId="20">
    <w:abstractNumId w:val="28"/>
  </w:num>
  <w:num w:numId="21">
    <w:abstractNumId w:val="24"/>
  </w:num>
  <w:num w:numId="22">
    <w:abstractNumId w:val="11"/>
  </w:num>
  <w:num w:numId="23">
    <w:abstractNumId w:val="8"/>
  </w:num>
  <w:num w:numId="24">
    <w:abstractNumId w:val="0"/>
  </w:num>
  <w:num w:numId="25">
    <w:abstractNumId w:val="1"/>
  </w:num>
  <w:num w:numId="26">
    <w:abstractNumId w:val="17"/>
  </w:num>
  <w:num w:numId="27">
    <w:abstractNumId w:val="5"/>
  </w:num>
  <w:num w:numId="28">
    <w:abstractNumId w:val="18"/>
  </w:num>
  <w:num w:numId="2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33B"/>
    <w:rsid w:val="000078E6"/>
    <w:rsid w:val="00007E28"/>
    <w:rsid w:val="00016FCB"/>
    <w:rsid w:val="000204D1"/>
    <w:rsid w:val="00024B25"/>
    <w:rsid w:val="000335F0"/>
    <w:rsid w:val="00041281"/>
    <w:rsid w:val="00065F7D"/>
    <w:rsid w:val="00081725"/>
    <w:rsid w:val="000903E5"/>
    <w:rsid w:val="00095A0E"/>
    <w:rsid w:val="0009788C"/>
    <w:rsid w:val="000A241E"/>
    <w:rsid w:val="000C303B"/>
    <w:rsid w:val="000E0853"/>
    <w:rsid w:val="000E5493"/>
    <w:rsid w:val="000E778C"/>
    <w:rsid w:val="000F7D9A"/>
    <w:rsid w:val="00101016"/>
    <w:rsid w:val="0010221A"/>
    <w:rsid w:val="001070F9"/>
    <w:rsid w:val="00107DF7"/>
    <w:rsid w:val="001238D7"/>
    <w:rsid w:val="001556DF"/>
    <w:rsid w:val="00167FD9"/>
    <w:rsid w:val="00170F91"/>
    <w:rsid w:val="00186C4C"/>
    <w:rsid w:val="001A2AA8"/>
    <w:rsid w:val="001B048E"/>
    <w:rsid w:val="001B3AC3"/>
    <w:rsid w:val="001D06C6"/>
    <w:rsid w:val="001E08E1"/>
    <w:rsid w:val="002042CC"/>
    <w:rsid w:val="00210154"/>
    <w:rsid w:val="0025627A"/>
    <w:rsid w:val="00276AEF"/>
    <w:rsid w:val="002A7383"/>
    <w:rsid w:val="002A7885"/>
    <w:rsid w:val="002B46EF"/>
    <w:rsid w:val="002B6201"/>
    <w:rsid w:val="002C2314"/>
    <w:rsid w:val="002D0693"/>
    <w:rsid w:val="002D704C"/>
    <w:rsid w:val="002E4E9E"/>
    <w:rsid w:val="002E5701"/>
    <w:rsid w:val="00303C6B"/>
    <w:rsid w:val="00304E2E"/>
    <w:rsid w:val="0030788F"/>
    <w:rsid w:val="00307890"/>
    <w:rsid w:val="00324A95"/>
    <w:rsid w:val="00340A80"/>
    <w:rsid w:val="00345327"/>
    <w:rsid w:val="003725F9"/>
    <w:rsid w:val="00375FBC"/>
    <w:rsid w:val="00377C2E"/>
    <w:rsid w:val="00380C67"/>
    <w:rsid w:val="00383505"/>
    <w:rsid w:val="003858DE"/>
    <w:rsid w:val="00394BFB"/>
    <w:rsid w:val="003A37A0"/>
    <w:rsid w:val="003A4600"/>
    <w:rsid w:val="003B061B"/>
    <w:rsid w:val="003B3F6D"/>
    <w:rsid w:val="003C1F17"/>
    <w:rsid w:val="003C5206"/>
    <w:rsid w:val="003C57DE"/>
    <w:rsid w:val="003C6892"/>
    <w:rsid w:val="003E5A63"/>
    <w:rsid w:val="003E6544"/>
    <w:rsid w:val="003F4283"/>
    <w:rsid w:val="003F4C78"/>
    <w:rsid w:val="003F4CF7"/>
    <w:rsid w:val="003F78C2"/>
    <w:rsid w:val="00401188"/>
    <w:rsid w:val="0040278E"/>
    <w:rsid w:val="004226F0"/>
    <w:rsid w:val="00424BC5"/>
    <w:rsid w:val="00432073"/>
    <w:rsid w:val="00434FE6"/>
    <w:rsid w:val="004439BA"/>
    <w:rsid w:val="00450194"/>
    <w:rsid w:val="004662E1"/>
    <w:rsid w:val="004667D7"/>
    <w:rsid w:val="0048602B"/>
    <w:rsid w:val="004871E9"/>
    <w:rsid w:val="00491503"/>
    <w:rsid w:val="0049323D"/>
    <w:rsid w:val="004B18B3"/>
    <w:rsid w:val="004D4A7D"/>
    <w:rsid w:val="004E6F24"/>
    <w:rsid w:val="00503F7C"/>
    <w:rsid w:val="0052229F"/>
    <w:rsid w:val="00522E02"/>
    <w:rsid w:val="005246AF"/>
    <w:rsid w:val="00537FA4"/>
    <w:rsid w:val="0056127E"/>
    <w:rsid w:val="005638E4"/>
    <w:rsid w:val="00570263"/>
    <w:rsid w:val="00581377"/>
    <w:rsid w:val="00593399"/>
    <w:rsid w:val="005959DD"/>
    <w:rsid w:val="00596BFA"/>
    <w:rsid w:val="005A79C5"/>
    <w:rsid w:val="005B267D"/>
    <w:rsid w:val="005C6D2B"/>
    <w:rsid w:val="005E23AB"/>
    <w:rsid w:val="005F1507"/>
    <w:rsid w:val="005F1857"/>
    <w:rsid w:val="005F660F"/>
    <w:rsid w:val="00600294"/>
    <w:rsid w:val="00600B57"/>
    <w:rsid w:val="00605091"/>
    <w:rsid w:val="0060555A"/>
    <w:rsid w:val="00614A59"/>
    <w:rsid w:val="00615A43"/>
    <w:rsid w:val="00616592"/>
    <w:rsid w:val="0062584A"/>
    <w:rsid w:val="00653CF4"/>
    <w:rsid w:val="006600F5"/>
    <w:rsid w:val="0066048B"/>
    <w:rsid w:val="00672CCA"/>
    <w:rsid w:val="00675FC5"/>
    <w:rsid w:val="006771E2"/>
    <w:rsid w:val="006779C6"/>
    <w:rsid w:val="006866BE"/>
    <w:rsid w:val="00691A61"/>
    <w:rsid w:val="00695C79"/>
    <w:rsid w:val="006C3484"/>
    <w:rsid w:val="006C63CB"/>
    <w:rsid w:val="006D1ADC"/>
    <w:rsid w:val="006E01EA"/>
    <w:rsid w:val="006E558A"/>
    <w:rsid w:val="006E62C3"/>
    <w:rsid w:val="007012F0"/>
    <w:rsid w:val="00706DC5"/>
    <w:rsid w:val="007175F4"/>
    <w:rsid w:val="007357D4"/>
    <w:rsid w:val="00735CCB"/>
    <w:rsid w:val="00762116"/>
    <w:rsid w:val="00765CC1"/>
    <w:rsid w:val="00777548"/>
    <w:rsid w:val="00783E3B"/>
    <w:rsid w:val="00794946"/>
    <w:rsid w:val="007B4166"/>
    <w:rsid w:val="007B5505"/>
    <w:rsid w:val="007C1B39"/>
    <w:rsid w:val="007D359E"/>
    <w:rsid w:val="007E65E5"/>
    <w:rsid w:val="007F149F"/>
    <w:rsid w:val="007F2BE3"/>
    <w:rsid w:val="007F307A"/>
    <w:rsid w:val="00800F4B"/>
    <w:rsid w:val="00810886"/>
    <w:rsid w:val="00812267"/>
    <w:rsid w:val="0082365C"/>
    <w:rsid w:val="00832730"/>
    <w:rsid w:val="0083433B"/>
    <w:rsid w:val="00840BA6"/>
    <w:rsid w:val="00862EFF"/>
    <w:rsid w:val="00881F05"/>
    <w:rsid w:val="00882A9C"/>
    <w:rsid w:val="008C00B0"/>
    <w:rsid w:val="008E7DF2"/>
    <w:rsid w:val="008F36B4"/>
    <w:rsid w:val="00900F53"/>
    <w:rsid w:val="00901CB2"/>
    <w:rsid w:val="00905F6F"/>
    <w:rsid w:val="009128FE"/>
    <w:rsid w:val="009239D5"/>
    <w:rsid w:val="00925CF4"/>
    <w:rsid w:val="00936D50"/>
    <w:rsid w:val="00973311"/>
    <w:rsid w:val="00A11A0B"/>
    <w:rsid w:val="00A21235"/>
    <w:rsid w:val="00A31603"/>
    <w:rsid w:val="00A61ECC"/>
    <w:rsid w:val="00A664FC"/>
    <w:rsid w:val="00A67DDB"/>
    <w:rsid w:val="00A77DB7"/>
    <w:rsid w:val="00A86D6B"/>
    <w:rsid w:val="00AA2BD7"/>
    <w:rsid w:val="00AC6B12"/>
    <w:rsid w:val="00AD55EB"/>
    <w:rsid w:val="00AE003A"/>
    <w:rsid w:val="00AF2DB8"/>
    <w:rsid w:val="00AF416F"/>
    <w:rsid w:val="00AF6563"/>
    <w:rsid w:val="00B01363"/>
    <w:rsid w:val="00B03871"/>
    <w:rsid w:val="00B04E44"/>
    <w:rsid w:val="00B064F9"/>
    <w:rsid w:val="00B14B7D"/>
    <w:rsid w:val="00B25E6A"/>
    <w:rsid w:val="00B274CB"/>
    <w:rsid w:val="00B34C1A"/>
    <w:rsid w:val="00B4643C"/>
    <w:rsid w:val="00B512EA"/>
    <w:rsid w:val="00B52C1B"/>
    <w:rsid w:val="00B56E8E"/>
    <w:rsid w:val="00B708BA"/>
    <w:rsid w:val="00B900D4"/>
    <w:rsid w:val="00B93A91"/>
    <w:rsid w:val="00BD3A94"/>
    <w:rsid w:val="00BF0CE8"/>
    <w:rsid w:val="00BF23A5"/>
    <w:rsid w:val="00BF653B"/>
    <w:rsid w:val="00C003DA"/>
    <w:rsid w:val="00C00683"/>
    <w:rsid w:val="00C058D6"/>
    <w:rsid w:val="00C34914"/>
    <w:rsid w:val="00C47F43"/>
    <w:rsid w:val="00C534E4"/>
    <w:rsid w:val="00C7186F"/>
    <w:rsid w:val="00C74CA3"/>
    <w:rsid w:val="00C83E74"/>
    <w:rsid w:val="00C915CE"/>
    <w:rsid w:val="00CA6408"/>
    <w:rsid w:val="00CB7D98"/>
    <w:rsid w:val="00CC52C4"/>
    <w:rsid w:val="00CC600E"/>
    <w:rsid w:val="00CD1510"/>
    <w:rsid w:val="00CD413A"/>
    <w:rsid w:val="00CD5A71"/>
    <w:rsid w:val="00CE076D"/>
    <w:rsid w:val="00CE5E93"/>
    <w:rsid w:val="00CF586A"/>
    <w:rsid w:val="00D04B8F"/>
    <w:rsid w:val="00D12971"/>
    <w:rsid w:val="00D16109"/>
    <w:rsid w:val="00D167EC"/>
    <w:rsid w:val="00D53F16"/>
    <w:rsid w:val="00D5724E"/>
    <w:rsid w:val="00D6252B"/>
    <w:rsid w:val="00D630A9"/>
    <w:rsid w:val="00D8127F"/>
    <w:rsid w:val="00D90D6D"/>
    <w:rsid w:val="00D90E08"/>
    <w:rsid w:val="00D9238B"/>
    <w:rsid w:val="00D92894"/>
    <w:rsid w:val="00D92C39"/>
    <w:rsid w:val="00DA02A0"/>
    <w:rsid w:val="00DA2B1C"/>
    <w:rsid w:val="00DC59D0"/>
    <w:rsid w:val="00DE05BA"/>
    <w:rsid w:val="00E12780"/>
    <w:rsid w:val="00E24408"/>
    <w:rsid w:val="00E36A18"/>
    <w:rsid w:val="00E41989"/>
    <w:rsid w:val="00E5605D"/>
    <w:rsid w:val="00E61CF9"/>
    <w:rsid w:val="00E66ADD"/>
    <w:rsid w:val="00E731D2"/>
    <w:rsid w:val="00E752A9"/>
    <w:rsid w:val="00E84C25"/>
    <w:rsid w:val="00E93452"/>
    <w:rsid w:val="00EB372C"/>
    <w:rsid w:val="00EB5D58"/>
    <w:rsid w:val="00EC2339"/>
    <w:rsid w:val="00EE2FFC"/>
    <w:rsid w:val="00EE40B2"/>
    <w:rsid w:val="00EE61C1"/>
    <w:rsid w:val="00EE71E2"/>
    <w:rsid w:val="00EF26FB"/>
    <w:rsid w:val="00F04475"/>
    <w:rsid w:val="00F139DF"/>
    <w:rsid w:val="00F27143"/>
    <w:rsid w:val="00F40C94"/>
    <w:rsid w:val="00F44E1B"/>
    <w:rsid w:val="00F518FA"/>
    <w:rsid w:val="00F86250"/>
    <w:rsid w:val="00FB1C53"/>
    <w:rsid w:val="00FB247A"/>
    <w:rsid w:val="00FD45E3"/>
    <w:rsid w:val="00FE69EB"/>
    <w:rsid w:val="00FF1214"/>
    <w:rsid w:val="00FF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43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43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433B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2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D04B8F"/>
  </w:style>
  <w:style w:type="character" w:styleId="Hyperlink">
    <w:name w:val="Hyperlink"/>
    <w:basedOn w:val="DefaultParagraphFont"/>
    <w:uiPriority w:val="99"/>
    <w:unhideWhenUsed/>
    <w:rsid w:val="00900F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16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67E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C303B"/>
    <w:rPr>
      <w:rFonts w:ascii="Thorndale" w:eastAsia="HG Mincho Light J" w:hAnsi="Thorndale" w:cs="Times New Roman"/>
      <w:color w:val="000000"/>
      <w:szCs w:val="24"/>
    </w:rPr>
  </w:style>
  <w:style w:type="paragraph" w:styleId="Subtitle">
    <w:name w:val="Subtitle"/>
    <w:basedOn w:val="Normal"/>
    <w:link w:val="SubtitleChar"/>
    <w:qFormat/>
    <w:rsid w:val="00450194"/>
    <w:pPr>
      <w:pBdr>
        <w:bottom w:val="single" w:sz="12" w:space="1" w:color="auto"/>
      </w:pBdr>
    </w:pPr>
    <w:rPr>
      <w:rFonts w:ascii="Book Antiqua" w:hAnsi="Book Antiqua" w:cs="Traditional Arabic"/>
      <w:b/>
      <w:bCs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450194"/>
    <w:rPr>
      <w:rFonts w:ascii="Book Antiqua" w:eastAsia="Times New Roman" w:hAnsi="Book Antiqua" w:cs="Traditional Arabic"/>
      <w:b/>
      <w:bCs/>
      <w:color w:val="000000"/>
      <w:sz w:val="20"/>
      <w:szCs w:val="20"/>
    </w:rPr>
  </w:style>
  <w:style w:type="table" w:styleId="TableGrid">
    <w:name w:val="Table Grid"/>
    <w:basedOn w:val="TableNormal"/>
    <w:rsid w:val="002E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17B3-DDDD-4539-8597-F061D27A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Shabbir Kagalwala</dc:creator>
  <cp:lastModifiedBy>602HRDESK</cp:lastModifiedBy>
  <cp:revision>42</cp:revision>
  <cp:lastPrinted>2016-12-26T15:31:00Z</cp:lastPrinted>
  <dcterms:created xsi:type="dcterms:W3CDTF">2016-12-26T15:29:00Z</dcterms:created>
  <dcterms:modified xsi:type="dcterms:W3CDTF">2017-04-20T06:46:00Z</dcterms:modified>
</cp:coreProperties>
</file>