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798" w:rsidRPr="00AC1798" w:rsidRDefault="006C53E8">
      <w:pPr>
        <w:rPr>
          <w:rStyle w:val="apple-converted-space"/>
          <w:rFonts w:ascii="Verdana" w:hAnsi="Verdana"/>
          <w:color w:val="333333"/>
          <w:sz w:val="40"/>
          <w:szCs w:val="40"/>
          <w:shd w:val="clear" w:color="auto" w:fill="FFDFDF"/>
        </w:rPr>
      </w:pPr>
      <w:bookmarkStart w:id="0" w:name="page1"/>
      <w:bookmarkEnd w:id="0"/>
      <w:r w:rsidRPr="00AC1798">
        <w:rPr>
          <w:rFonts w:ascii="Arial" w:eastAsia="Arial" w:hAnsi="Arial" w:cs="Arial"/>
          <w:b/>
          <w:bCs/>
          <w:noProof/>
          <w:sz w:val="40"/>
          <w:szCs w:val="40"/>
        </w:rPr>
        <w:drawing>
          <wp:anchor distT="0" distB="0" distL="114300" distR="114300" simplePos="0" relativeHeight="251654144" behindDoc="1" locked="0" layoutInCell="0" allowOverlap="1" wp14:anchorId="18FDCE82" wp14:editId="5BE80F44">
            <wp:simplePos x="0" y="0"/>
            <wp:positionH relativeFrom="page">
              <wp:posOffset>5254981</wp:posOffset>
            </wp:positionH>
            <wp:positionV relativeFrom="page">
              <wp:posOffset>50215</wp:posOffset>
            </wp:positionV>
            <wp:extent cx="1872615" cy="1872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872615" cy="1872615"/>
                    </a:xfrm>
                    <a:prstGeom prst="rect">
                      <a:avLst/>
                    </a:prstGeom>
                    <a:noFill/>
                  </pic:spPr>
                </pic:pic>
              </a:graphicData>
            </a:graphic>
          </wp:anchor>
        </w:drawing>
      </w:r>
      <w:proofErr w:type="spellStart"/>
      <w:r w:rsidR="00AC1798" w:rsidRPr="00AC1798">
        <w:rPr>
          <w:rFonts w:ascii="Verdana" w:hAnsi="Verdana"/>
          <w:color w:val="333333"/>
          <w:sz w:val="40"/>
          <w:szCs w:val="40"/>
          <w:shd w:val="clear" w:color="auto" w:fill="FFDFDF"/>
        </w:rPr>
        <w:t>Maricor</w:t>
      </w:r>
      <w:proofErr w:type="spellEnd"/>
      <w:r w:rsidR="00AC1798" w:rsidRPr="00AC1798">
        <w:rPr>
          <w:rStyle w:val="apple-converted-space"/>
          <w:rFonts w:ascii="Verdana" w:hAnsi="Verdana"/>
          <w:color w:val="333333"/>
          <w:sz w:val="40"/>
          <w:szCs w:val="40"/>
          <w:shd w:val="clear" w:color="auto" w:fill="FFDFDF"/>
        </w:rPr>
        <w:t> </w:t>
      </w:r>
    </w:p>
    <w:p w:rsidR="00D91F82" w:rsidRPr="00AC1798" w:rsidRDefault="00AC1798">
      <w:pPr>
        <w:rPr>
          <w:sz w:val="40"/>
          <w:szCs w:val="40"/>
        </w:rPr>
      </w:pPr>
      <w:hyperlink r:id="rId7" w:history="1">
        <w:r w:rsidRPr="00AC1798">
          <w:rPr>
            <w:rStyle w:val="Hyperlink"/>
            <w:rFonts w:ascii="Verdana" w:hAnsi="Verdana"/>
            <w:sz w:val="40"/>
            <w:szCs w:val="40"/>
            <w:shd w:val="clear" w:color="auto" w:fill="FFDFDF"/>
          </w:rPr>
          <w:t>Mari</w:t>
        </w:r>
        <w:bookmarkStart w:id="1" w:name="_GoBack"/>
        <w:bookmarkEnd w:id="1"/>
        <w:r w:rsidRPr="00AC1798">
          <w:rPr>
            <w:rStyle w:val="Hyperlink"/>
            <w:rFonts w:ascii="Verdana" w:hAnsi="Verdana"/>
            <w:sz w:val="40"/>
            <w:szCs w:val="40"/>
            <w:shd w:val="clear" w:color="auto" w:fill="FFDFDF"/>
          </w:rPr>
          <w:t>cor.353204@2freemail.com</w:t>
        </w:r>
      </w:hyperlink>
      <w:r w:rsidRPr="00AC1798">
        <w:rPr>
          <w:rFonts w:ascii="Verdana" w:hAnsi="Verdana"/>
          <w:color w:val="333333"/>
          <w:sz w:val="40"/>
          <w:szCs w:val="40"/>
          <w:shd w:val="clear" w:color="auto" w:fill="FFDFDF"/>
        </w:rPr>
        <w:t xml:space="preserve"> </w:t>
      </w:r>
      <w:r w:rsidRPr="00AC1798">
        <w:rPr>
          <w:rStyle w:val="apple-converted-space"/>
          <w:rFonts w:ascii="Verdana" w:hAnsi="Verdana"/>
          <w:color w:val="333333"/>
          <w:sz w:val="40"/>
          <w:szCs w:val="40"/>
          <w:shd w:val="clear" w:color="auto" w:fill="FFDFDF"/>
        </w:rPr>
        <w:t> </w:t>
      </w:r>
      <w:r w:rsidR="00FA6624" w:rsidRPr="00AC1798">
        <w:rPr>
          <w:sz w:val="40"/>
          <w:szCs w:val="40"/>
        </w:rPr>
        <w:t xml:space="preserve"> </w:t>
      </w:r>
    </w:p>
    <w:p w:rsidR="00D91F82" w:rsidRDefault="00D91F82">
      <w:pPr>
        <w:spacing w:line="17" w:lineRule="exact"/>
        <w:rPr>
          <w:sz w:val="24"/>
          <w:szCs w:val="24"/>
        </w:rPr>
      </w:pPr>
    </w:p>
    <w:p w:rsidR="00D91F82" w:rsidRDefault="006C53E8">
      <w:pPr>
        <w:spacing w:line="127" w:lineRule="exact"/>
        <w:rPr>
          <w:sz w:val="24"/>
          <w:szCs w:val="24"/>
        </w:rPr>
      </w:pPr>
      <w:r>
        <w:rPr>
          <w:noProof/>
          <w:sz w:val="24"/>
          <w:szCs w:val="24"/>
        </w:rPr>
        <mc:AlternateContent>
          <mc:Choice Requires="wps">
            <w:drawing>
              <wp:anchor distT="0" distB="0" distL="114300" distR="114300" simplePos="0" relativeHeight="251655168" behindDoc="1" locked="0" layoutInCell="0" allowOverlap="1">
                <wp:simplePos x="0" y="0"/>
                <wp:positionH relativeFrom="column">
                  <wp:posOffset>0</wp:posOffset>
                </wp:positionH>
                <wp:positionV relativeFrom="paragraph">
                  <wp:posOffset>-308610</wp:posOffset>
                </wp:positionV>
                <wp:extent cx="170497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4.2999pt" to="134.25pt,-24.2999pt" o:allowincell="f" strokecolor="#000000" strokeweight="0.7199pt"/>
            </w:pict>
          </mc:Fallback>
        </mc:AlternateContent>
      </w:r>
    </w:p>
    <w:p w:rsidR="00D91F82" w:rsidRDefault="006C53E8">
      <w:pPr>
        <w:rPr>
          <w:sz w:val="20"/>
          <w:szCs w:val="20"/>
        </w:rPr>
      </w:pPr>
      <w:r>
        <w:rPr>
          <w:rFonts w:ascii="Arial" w:eastAsia="Arial" w:hAnsi="Arial" w:cs="Arial"/>
          <w:b/>
          <w:bCs/>
        </w:rPr>
        <w:t>WORK EXPERIENCE</w:t>
      </w:r>
    </w:p>
    <w:p w:rsidR="00D91F82" w:rsidRDefault="006C53E8">
      <w:pPr>
        <w:spacing w:line="285" w:lineRule="exact"/>
        <w:rPr>
          <w:sz w:val="24"/>
          <w:szCs w:val="24"/>
        </w:rPr>
      </w:pPr>
      <w:r>
        <w:rPr>
          <w:noProof/>
          <w:sz w:val="24"/>
          <w:szCs w:val="24"/>
        </w:rPr>
        <mc:AlternateContent>
          <mc:Choice Requires="wps">
            <w:drawing>
              <wp:anchor distT="0" distB="0" distL="114300" distR="114300" simplePos="0" relativeHeight="251656192" behindDoc="1" locked="0" layoutInCell="0" allowOverlap="1">
                <wp:simplePos x="0" y="0"/>
                <wp:positionH relativeFrom="column">
                  <wp:posOffset>0</wp:posOffset>
                </wp:positionH>
                <wp:positionV relativeFrom="paragraph">
                  <wp:posOffset>132080</wp:posOffset>
                </wp:positionV>
                <wp:extent cx="111379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3790"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4pt" to="87.7pt,10.4pt" o:allowincell="f" strokecolor="#000000" strokeweight="0.7199pt"/>
            </w:pict>
          </mc:Fallback>
        </mc:AlternateContent>
      </w:r>
    </w:p>
    <w:tbl>
      <w:tblPr>
        <w:tblW w:w="0" w:type="auto"/>
        <w:tblLayout w:type="fixed"/>
        <w:tblCellMar>
          <w:left w:w="0" w:type="dxa"/>
          <w:right w:w="0" w:type="dxa"/>
        </w:tblCellMar>
        <w:tblLook w:val="04A0" w:firstRow="1" w:lastRow="0" w:firstColumn="1" w:lastColumn="0" w:noHBand="0" w:noVBand="1"/>
      </w:tblPr>
      <w:tblGrid>
        <w:gridCol w:w="1740"/>
        <w:gridCol w:w="260"/>
        <w:gridCol w:w="7040"/>
        <w:gridCol w:w="20"/>
      </w:tblGrid>
      <w:tr w:rsidR="00D91F82">
        <w:trPr>
          <w:trHeight w:val="431"/>
        </w:trPr>
        <w:tc>
          <w:tcPr>
            <w:tcW w:w="9040" w:type="dxa"/>
            <w:gridSpan w:val="3"/>
            <w:vAlign w:val="bottom"/>
          </w:tcPr>
          <w:p w:rsidR="00D91F82" w:rsidRDefault="006C53E8">
            <w:pPr>
              <w:rPr>
                <w:sz w:val="20"/>
                <w:szCs w:val="20"/>
              </w:rPr>
            </w:pPr>
            <w:r>
              <w:rPr>
                <w:rFonts w:ascii="Arial" w:eastAsia="Arial" w:hAnsi="Arial" w:cs="Arial"/>
                <w:b/>
                <w:bCs/>
              </w:rPr>
              <w:t>YWA HUMAN RESOURCE CORPORATION</w:t>
            </w:r>
          </w:p>
        </w:tc>
        <w:tc>
          <w:tcPr>
            <w:tcW w:w="0" w:type="dxa"/>
            <w:vAlign w:val="bottom"/>
          </w:tcPr>
          <w:p w:rsidR="00D91F82" w:rsidRDefault="00D91F82">
            <w:pPr>
              <w:rPr>
                <w:sz w:val="1"/>
                <w:szCs w:val="1"/>
              </w:rPr>
            </w:pPr>
          </w:p>
        </w:tc>
      </w:tr>
      <w:tr w:rsidR="00D91F82">
        <w:trPr>
          <w:trHeight w:val="269"/>
        </w:trPr>
        <w:tc>
          <w:tcPr>
            <w:tcW w:w="9040" w:type="dxa"/>
            <w:gridSpan w:val="3"/>
            <w:vAlign w:val="bottom"/>
          </w:tcPr>
          <w:p w:rsidR="00D91F82" w:rsidRDefault="006C53E8">
            <w:pPr>
              <w:rPr>
                <w:sz w:val="20"/>
                <w:szCs w:val="20"/>
              </w:rPr>
            </w:pPr>
            <w:r>
              <w:rPr>
                <w:rFonts w:ascii="Arial" w:eastAsia="Arial" w:hAnsi="Arial" w:cs="Arial"/>
                <w:b/>
                <w:bCs/>
              </w:rPr>
              <w:t>1268 General Luna St., Ermita, Manila 1000</w:t>
            </w:r>
          </w:p>
        </w:tc>
        <w:tc>
          <w:tcPr>
            <w:tcW w:w="0" w:type="dxa"/>
            <w:vAlign w:val="bottom"/>
          </w:tcPr>
          <w:p w:rsidR="00D91F82" w:rsidRDefault="00D91F82">
            <w:pPr>
              <w:rPr>
                <w:sz w:val="1"/>
                <w:szCs w:val="1"/>
              </w:rPr>
            </w:pPr>
          </w:p>
        </w:tc>
      </w:tr>
      <w:tr w:rsidR="00D91F82">
        <w:trPr>
          <w:trHeight w:val="269"/>
        </w:trPr>
        <w:tc>
          <w:tcPr>
            <w:tcW w:w="9040" w:type="dxa"/>
            <w:gridSpan w:val="3"/>
            <w:vAlign w:val="bottom"/>
          </w:tcPr>
          <w:p w:rsidR="00D91F82" w:rsidRDefault="006C53E8">
            <w:pPr>
              <w:rPr>
                <w:sz w:val="20"/>
                <w:szCs w:val="20"/>
              </w:rPr>
            </w:pPr>
            <w:r>
              <w:rPr>
                <w:rFonts w:ascii="Arial" w:eastAsia="Arial" w:hAnsi="Arial" w:cs="Arial"/>
                <w:b/>
                <w:bCs/>
                <w:color w:val="808080"/>
                <w:w w:val="88"/>
              </w:rPr>
              <w:t>YWA is a duly recognize manpower company with head office based in Manila, Philippines which</w:t>
            </w:r>
          </w:p>
        </w:tc>
        <w:tc>
          <w:tcPr>
            <w:tcW w:w="0" w:type="dxa"/>
            <w:vAlign w:val="bottom"/>
          </w:tcPr>
          <w:p w:rsidR="00D91F82" w:rsidRDefault="00D91F82">
            <w:pPr>
              <w:rPr>
                <w:sz w:val="1"/>
                <w:szCs w:val="1"/>
              </w:rPr>
            </w:pPr>
          </w:p>
        </w:tc>
      </w:tr>
      <w:tr w:rsidR="00D91F82">
        <w:trPr>
          <w:trHeight w:val="266"/>
        </w:trPr>
        <w:tc>
          <w:tcPr>
            <w:tcW w:w="9040" w:type="dxa"/>
            <w:gridSpan w:val="3"/>
            <w:vAlign w:val="bottom"/>
          </w:tcPr>
          <w:p w:rsidR="00D91F82" w:rsidRDefault="006C53E8">
            <w:pPr>
              <w:rPr>
                <w:sz w:val="20"/>
                <w:szCs w:val="20"/>
              </w:rPr>
            </w:pPr>
            <w:r>
              <w:rPr>
                <w:rFonts w:ascii="Arial" w:eastAsia="Arial" w:hAnsi="Arial" w:cs="Arial"/>
                <w:b/>
                <w:bCs/>
                <w:color w:val="808080"/>
                <w:w w:val="88"/>
              </w:rPr>
              <w:t>recruits, processes, deploys, and assists in the post-deployment of Overseas Filipino Workers to</w:t>
            </w:r>
          </w:p>
        </w:tc>
        <w:tc>
          <w:tcPr>
            <w:tcW w:w="0" w:type="dxa"/>
            <w:vAlign w:val="bottom"/>
          </w:tcPr>
          <w:p w:rsidR="00D91F82" w:rsidRDefault="00D91F82">
            <w:pPr>
              <w:rPr>
                <w:sz w:val="1"/>
                <w:szCs w:val="1"/>
              </w:rPr>
            </w:pPr>
          </w:p>
        </w:tc>
      </w:tr>
      <w:tr w:rsidR="00D91F82">
        <w:trPr>
          <w:trHeight w:val="269"/>
        </w:trPr>
        <w:tc>
          <w:tcPr>
            <w:tcW w:w="9040" w:type="dxa"/>
            <w:gridSpan w:val="3"/>
            <w:vAlign w:val="bottom"/>
          </w:tcPr>
          <w:p w:rsidR="00D91F82" w:rsidRDefault="006C53E8">
            <w:pPr>
              <w:rPr>
                <w:sz w:val="20"/>
                <w:szCs w:val="20"/>
              </w:rPr>
            </w:pPr>
            <w:r>
              <w:rPr>
                <w:rFonts w:ascii="Arial" w:eastAsia="Arial" w:hAnsi="Arial" w:cs="Arial"/>
                <w:b/>
                <w:bCs/>
                <w:color w:val="808080"/>
                <w:w w:val="84"/>
              </w:rPr>
              <w:t>various projects in the Oil &amp; Gas, Petrochemical, Civil &amp; Construction, Shipyards &amp; Dry-docks, Medical</w:t>
            </w:r>
          </w:p>
        </w:tc>
        <w:tc>
          <w:tcPr>
            <w:tcW w:w="0" w:type="dxa"/>
            <w:vAlign w:val="bottom"/>
          </w:tcPr>
          <w:p w:rsidR="00D91F82" w:rsidRDefault="00D91F82">
            <w:pPr>
              <w:rPr>
                <w:sz w:val="1"/>
                <w:szCs w:val="1"/>
              </w:rPr>
            </w:pPr>
          </w:p>
        </w:tc>
      </w:tr>
      <w:tr w:rsidR="00D91F82">
        <w:trPr>
          <w:trHeight w:val="269"/>
        </w:trPr>
        <w:tc>
          <w:tcPr>
            <w:tcW w:w="9040" w:type="dxa"/>
            <w:gridSpan w:val="3"/>
            <w:vAlign w:val="bottom"/>
          </w:tcPr>
          <w:p w:rsidR="00D91F82" w:rsidRDefault="006C53E8">
            <w:pPr>
              <w:rPr>
                <w:sz w:val="20"/>
                <w:szCs w:val="20"/>
              </w:rPr>
            </w:pPr>
            <w:r>
              <w:rPr>
                <w:rFonts w:ascii="Arial" w:eastAsia="Arial" w:hAnsi="Arial" w:cs="Arial"/>
                <w:b/>
                <w:bCs/>
                <w:color w:val="808080"/>
              </w:rPr>
              <w:t>and Hospitality industries.</w:t>
            </w:r>
          </w:p>
        </w:tc>
        <w:tc>
          <w:tcPr>
            <w:tcW w:w="0" w:type="dxa"/>
            <w:vAlign w:val="bottom"/>
          </w:tcPr>
          <w:p w:rsidR="00D91F82" w:rsidRDefault="00D91F82">
            <w:pPr>
              <w:rPr>
                <w:sz w:val="1"/>
                <w:szCs w:val="1"/>
              </w:rPr>
            </w:pPr>
          </w:p>
        </w:tc>
      </w:tr>
      <w:tr w:rsidR="00D91F82">
        <w:trPr>
          <w:trHeight w:val="269"/>
        </w:trPr>
        <w:tc>
          <w:tcPr>
            <w:tcW w:w="9040" w:type="dxa"/>
            <w:gridSpan w:val="3"/>
            <w:vAlign w:val="bottom"/>
          </w:tcPr>
          <w:p w:rsidR="00D91F82" w:rsidRDefault="00D91F82">
            <w:pPr>
              <w:rPr>
                <w:sz w:val="20"/>
                <w:szCs w:val="20"/>
              </w:rPr>
            </w:pPr>
          </w:p>
        </w:tc>
        <w:tc>
          <w:tcPr>
            <w:tcW w:w="0" w:type="dxa"/>
            <w:vAlign w:val="bottom"/>
          </w:tcPr>
          <w:p w:rsidR="00D91F82" w:rsidRDefault="00D91F82">
            <w:pPr>
              <w:rPr>
                <w:sz w:val="1"/>
                <w:szCs w:val="1"/>
              </w:rPr>
            </w:pPr>
          </w:p>
        </w:tc>
      </w:tr>
      <w:tr w:rsidR="00D91F82">
        <w:trPr>
          <w:trHeight w:val="293"/>
        </w:trPr>
        <w:tc>
          <w:tcPr>
            <w:tcW w:w="1740" w:type="dxa"/>
            <w:tcBorders>
              <w:bottom w:val="single" w:sz="8" w:space="0" w:color="auto"/>
            </w:tcBorders>
            <w:vAlign w:val="bottom"/>
          </w:tcPr>
          <w:p w:rsidR="00D91F82" w:rsidRDefault="00D91F82">
            <w:pPr>
              <w:rPr>
                <w:sz w:val="20"/>
                <w:szCs w:val="20"/>
              </w:rPr>
            </w:pPr>
          </w:p>
        </w:tc>
        <w:tc>
          <w:tcPr>
            <w:tcW w:w="260" w:type="dxa"/>
            <w:vAlign w:val="bottom"/>
          </w:tcPr>
          <w:p w:rsidR="00D91F82" w:rsidRDefault="00D91F82">
            <w:pPr>
              <w:rPr>
                <w:sz w:val="24"/>
                <w:szCs w:val="24"/>
              </w:rPr>
            </w:pPr>
          </w:p>
        </w:tc>
        <w:tc>
          <w:tcPr>
            <w:tcW w:w="7040" w:type="dxa"/>
            <w:vAlign w:val="bottom"/>
          </w:tcPr>
          <w:p w:rsidR="00D91F82" w:rsidRDefault="00D91F82">
            <w:pPr>
              <w:rPr>
                <w:sz w:val="24"/>
                <w:szCs w:val="24"/>
              </w:rPr>
            </w:pPr>
          </w:p>
        </w:tc>
        <w:tc>
          <w:tcPr>
            <w:tcW w:w="0" w:type="dxa"/>
            <w:vAlign w:val="bottom"/>
          </w:tcPr>
          <w:p w:rsidR="00D91F82" w:rsidRDefault="00D91F82">
            <w:pPr>
              <w:rPr>
                <w:sz w:val="1"/>
                <w:szCs w:val="1"/>
              </w:rPr>
            </w:pPr>
          </w:p>
        </w:tc>
      </w:tr>
      <w:tr w:rsidR="00D91F82">
        <w:trPr>
          <w:trHeight w:val="494"/>
        </w:trPr>
        <w:tc>
          <w:tcPr>
            <w:tcW w:w="2000" w:type="dxa"/>
            <w:gridSpan w:val="2"/>
            <w:vAlign w:val="bottom"/>
          </w:tcPr>
          <w:p w:rsidR="00D91F82" w:rsidRDefault="006C53E8">
            <w:pPr>
              <w:rPr>
                <w:sz w:val="20"/>
                <w:szCs w:val="20"/>
              </w:rPr>
            </w:pPr>
            <w:r>
              <w:rPr>
                <w:rFonts w:ascii="Arial" w:eastAsia="Arial" w:hAnsi="Arial" w:cs="Arial"/>
                <w:b/>
                <w:bCs/>
                <w:w w:val="96"/>
              </w:rPr>
              <w:t>Finance Supervisor</w:t>
            </w:r>
          </w:p>
        </w:tc>
        <w:tc>
          <w:tcPr>
            <w:tcW w:w="7040" w:type="dxa"/>
            <w:vMerge w:val="restart"/>
            <w:vAlign w:val="bottom"/>
          </w:tcPr>
          <w:p w:rsidR="00D91F82" w:rsidRDefault="006C53E8">
            <w:pPr>
              <w:ind w:left="160"/>
              <w:rPr>
                <w:sz w:val="20"/>
                <w:szCs w:val="20"/>
              </w:rPr>
            </w:pPr>
            <w:r>
              <w:rPr>
                <w:rFonts w:ascii="Arial" w:eastAsia="Arial" w:hAnsi="Arial" w:cs="Arial"/>
                <w:b/>
                <w:bCs/>
              </w:rPr>
              <w:t>Leonisa L. Butal, Finance Manager</w:t>
            </w:r>
          </w:p>
        </w:tc>
        <w:tc>
          <w:tcPr>
            <w:tcW w:w="0" w:type="dxa"/>
            <w:vAlign w:val="bottom"/>
          </w:tcPr>
          <w:p w:rsidR="00D91F82" w:rsidRDefault="00D91F82">
            <w:pPr>
              <w:rPr>
                <w:sz w:val="1"/>
                <w:szCs w:val="1"/>
              </w:rPr>
            </w:pPr>
          </w:p>
        </w:tc>
      </w:tr>
      <w:tr w:rsidR="00D91F82">
        <w:trPr>
          <w:trHeight w:val="269"/>
        </w:trPr>
        <w:tc>
          <w:tcPr>
            <w:tcW w:w="2000" w:type="dxa"/>
            <w:gridSpan w:val="2"/>
            <w:vAlign w:val="bottom"/>
          </w:tcPr>
          <w:p w:rsidR="00D91F82" w:rsidRDefault="006C53E8">
            <w:pPr>
              <w:rPr>
                <w:sz w:val="20"/>
                <w:szCs w:val="20"/>
              </w:rPr>
            </w:pPr>
            <w:r>
              <w:rPr>
                <w:rFonts w:ascii="Arial" w:eastAsia="Arial" w:hAnsi="Arial" w:cs="Arial"/>
                <w:b/>
                <w:bCs/>
                <w:w w:val="93"/>
              </w:rPr>
              <w:t>Immediate Superior:</w:t>
            </w:r>
          </w:p>
        </w:tc>
        <w:tc>
          <w:tcPr>
            <w:tcW w:w="7040" w:type="dxa"/>
            <w:vMerge/>
            <w:vAlign w:val="bottom"/>
          </w:tcPr>
          <w:p w:rsidR="00D91F82" w:rsidRDefault="00D91F82">
            <w:pPr>
              <w:rPr>
                <w:sz w:val="23"/>
                <w:szCs w:val="23"/>
              </w:rPr>
            </w:pPr>
          </w:p>
        </w:tc>
        <w:tc>
          <w:tcPr>
            <w:tcW w:w="0" w:type="dxa"/>
            <w:vAlign w:val="bottom"/>
          </w:tcPr>
          <w:p w:rsidR="00D91F82" w:rsidRDefault="00D91F82">
            <w:pPr>
              <w:rPr>
                <w:sz w:val="1"/>
                <w:szCs w:val="1"/>
              </w:rPr>
            </w:pPr>
          </w:p>
        </w:tc>
      </w:tr>
      <w:tr w:rsidR="00D91F82">
        <w:trPr>
          <w:trHeight w:val="373"/>
        </w:trPr>
        <w:tc>
          <w:tcPr>
            <w:tcW w:w="9040" w:type="dxa"/>
            <w:gridSpan w:val="3"/>
            <w:vAlign w:val="bottom"/>
          </w:tcPr>
          <w:p w:rsidR="00D91F82" w:rsidRDefault="006C53E8">
            <w:pPr>
              <w:rPr>
                <w:sz w:val="20"/>
                <w:szCs w:val="20"/>
              </w:rPr>
            </w:pPr>
            <w:r>
              <w:rPr>
                <w:rFonts w:ascii="Arial" w:eastAsia="Arial" w:hAnsi="Arial" w:cs="Arial"/>
                <w:b/>
                <w:bCs/>
              </w:rPr>
              <w:t>February 1, 2013 - present</w:t>
            </w:r>
          </w:p>
        </w:tc>
        <w:tc>
          <w:tcPr>
            <w:tcW w:w="0" w:type="dxa"/>
            <w:vAlign w:val="bottom"/>
          </w:tcPr>
          <w:p w:rsidR="00D91F82" w:rsidRDefault="00D91F82">
            <w:pPr>
              <w:rPr>
                <w:sz w:val="1"/>
                <w:szCs w:val="1"/>
              </w:rPr>
            </w:pPr>
          </w:p>
        </w:tc>
      </w:tr>
      <w:tr w:rsidR="00D91F82">
        <w:trPr>
          <w:trHeight w:val="431"/>
        </w:trPr>
        <w:tc>
          <w:tcPr>
            <w:tcW w:w="9040" w:type="dxa"/>
            <w:gridSpan w:val="3"/>
            <w:vAlign w:val="bottom"/>
          </w:tcPr>
          <w:p w:rsidR="00D91F82" w:rsidRDefault="006C53E8">
            <w:pPr>
              <w:rPr>
                <w:sz w:val="20"/>
                <w:szCs w:val="20"/>
              </w:rPr>
            </w:pPr>
            <w:r>
              <w:rPr>
                <w:rFonts w:ascii="Arial" w:eastAsia="Arial" w:hAnsi="Arial" w:cs="Arial"/>
                <w:b/>
                <w:bCs/>
              </w:rPr>
              <w:t>Finance Asst. Supervisor</w:t>
            </w:r>
          </w:p>
        </w:tc>
        <w:tc>
          <w:tcPr>
            <w:tcW w:w="0" w:type="dxa"/>
            <w:vAlign w:val="bottom"/>
          </w:tcPr>
          <w:p w:rsidR="00D91F82" w:rsidRDefault="00D91F82">
            <w:pPr>
              <w:rPr>
                <w:sz w:val="1"/>
                <w:szCs w:val="1"/>
              </w:rPr>
            </w:pPr>
          </w:p>
        </w:tc>
      </w:tr>
      <w:tr w:rsidR="00D91F82">
        <w:trPr>
          <w:trHeight w:val="269"/>
        </w:trPr>
        <w:tc>
          <w:tcPr>
            <w:tcW w:w="2000" w:type="dxa"/>
            <w:gridSpan w:val="2"/>
            <w:vAlign w:val="bottom"/>
          </w:tcPr>
          <w:p w:rsidR="00D91F82" w:rsidRDefault="006C53E8">
            <w:pPr>
              <w:rPr>
                <w:sz w:val="20"/>
                <w:szCs w:val="20"/>
              </w:rPr>
            </w:pPr>
            <w:r>
              <w:rPr>
                <w:rFonts w:ascii="Arial" w:eastAsia="Arial" w:hAnsi="Arial" w:cs="Arial"/>
                <w:b/>
                <w:bCs/>
                <w:w w:val="93"/>
              </w:rPr>
              <w:t>Immediate Superior:</w:t>
            </w:r>
          </w:p>
        </w:tc>
        <w:tc>
          <w:tcPr>
            <w:tcW w:w="7040" w:type="dxa"/>
            <w:vAlign w:val="bottom"/>
          </w:tcPr>
          <w:p w:rsidR="00D91F82" w:rsidRDefault="006C53E8">
            <w:pPr>
              <w:ind w:left="160"/>
              <w:rPr>
                <w:sz w:val="20"/>
                <w:szCs w:val="20"/>
              </w:rPr>
            </w:pPr>
            <w:r>
              <w:rPr>
                <w:rFonts w:ascii="Arial" w:eastAsia="Arial" w:hAnsi="Arial" w:cs="Arial"/>
                <w:b/>
                <w:bCs/>
              </w:rPr>
              <w:t>Leonisa L. Butal, Finance Manager</w:t>
            </w:r>
          </w:p>
        </w:tc>
        <w:tc>
          <w:tcPr>
            <w:tcW w:w="0" w:type="dxa"/>
            <w:vAlign w:val="bottom"/>
          </w:tcPr>
          <w:p w:rsidR="00D91F82" w:rsidRDefault="00D91F82">
            <w:pPr>
              <w:rPr>
                <w:sz w:val="1"/>
                <w:szCs w:val="1"/>
              </w:rPr>
            </w:pPr>
          </w:p>
        </w:tc>
      </w:tr>
      <w:tr w:rsidR="00D91F82">
        <w:trPr>
          <w:trHeight w:val="376"/>
        </w:trPr>
        <w:tc>
          <w:tcPr>
            <w:tcW w:w="9040" w:type="dxa"/>
            <w:gridSpan w:val="3"/>
            <w:vAlign w:val="bottom"/>
          </w:tcPr>
          <w:p w:rsidR="00D91F82" w:rsidRDefault="006C53E8">
            <w:pPr>
              <w:rPr>
                <w:sz w:val="20"/>
                <w:szCs w:val="20"/>
              </w:rPr>
            </w:pPr>
            <w:r>
              <w:rPr>
                <w:rFonts w:ascii="Arial" w:eastAsia="Arial" w:hAnsi="Arial" w:cs="Arial"/>
                <w:b/>
                <w:bCs/>
              </w:rPr>
              <w:t>March 1, 2010 – January 31, 2013</w:t>
            </w:r>
          </w:p>
        </w:tc>
        <w:tc>
          <w:tcPr>
            <w:tcW w:w="0" w:type="dxa"/>
            <w:vAlign w:val="bottom"/>
          </w:tcPr>
          <w:p w:rsidR="00D91F82" w:rsidRDefault="00D91F82">
            <w:pPr>
              <w:rPr>
                <w:sz w:val="1"/>
                <w:szCs w:val="1"/>
              </w:rPr>
            </w:pPr>
          </w:p>
        </w:tc>
      </w:tr>
      <w:tr w:rsidR="00D91F82">
        <w:trPr>
          <w:trHeight w:val="431"/>
        </w:trPr>
        <w:tc>
          <w:tcPr>
            <w:tcW w:w="2000" w:type="dxa"/>
            <w:gridSpan w:val="2"/>
            <w:vAlign w:val="bottom"/>
          </w:tcPr>
          <w:p w:rsidR="00D91F82" w:rsidRDefault="006C53E8">
            <w:pPr>
              <w:rPr>
                <w:sz w:val="20"/>
                <w:szCs w:val="20"/>
              </w:rPr>
            </w:pPr>
            <w:r>
              <w:rPr>
                <w:rFonts w:ascii="Arial" w:eastAsia="Arial" w:hAnsi="Arial" w:cs="Arial"/>
                <w:b/>
                <w:bCs/>
              </w:rPr>
              <w:t>Finance Personnel</w:t>
            </w:r>
          </w:p>
        </w:tc>
        <w:tc>
          <w:tcPr>
            <w:tcW w:w="7040" w:type="dxa"/>
            <w:vMerge w:val="restart"/>
            <w:vAlign w:val="bottom"/>
          </w:tcPr>
          <w:p w:rsidR="00D91F82" w:rsidRDefault="006C53E8">
            <w:pPr>
              <w:ind w:left="160"/>
              <w:rPr>
                <w:sz w:val="20"/>
                <w:szCs w:val="20"/>
              </w:rPr>
            </w:pPr>
            <w:r>
              <w:rPr>
                <w:rFonts w:ascii="Arial" w:eastAsia="Arial" w:hAnsi="Arial" w:cs="Arial"/>
                <w:b/>
                <w:bCs/>
              </w:rPr>
              <w:t>Leonisa L. Butal, Finance Manager</w:t>
            </w:r>
          </w:p>
        </w:tc>
        <w:tc>
          <w:tcPr>
            <w:tcW w:w="0" w:type="dxa"/>
            <w:vAlign w:val="bottom"/>
          </w:tcPr>
          <w:p w:rsidR="00D91F82" w:rsidRDefault="00D91F82">
            <w:pPr>
              <w:rPr>
                <w:sz w:val="1"/>
                <w:szCs w:val="1"/>
              </w:rPr>
            </w:pPr>
          </w:p>
        </w:tc>
      </w:tr>
      <w:tr w:rsidR="00D91F82">
        <w:trPr>
          <w:trHeight w:val="269"/>
        </w:trPr>
        <w:tc>
          <w:tcPr>
            <w:tcW w:w="2000" w:type="dxa"/>
            <w:gridSpan w:val="2"/>
            <w:vAlign w:val="bottom"/>
          </w:tcPr>
          <w:p w:rsidR="00D91F82" w:rsidRDefault="006C53E8">
            <w:pPr>
              <w:rPr>
                <w:sz w:val="20"/>
                <w:szCs w:val="20"/>
              </w:rPr>
            </w:pPr>
            <w:r>
              <w:rPr>
                <w:rFonts w:ascii="Arial" w:eastAsia="Arial" w:hAnsi="Arial" w:cs="Arial"/>
                <w:b/>
                <w:bCs/>
                <w:w w:val="93"/>
              </w:rPr>
              <w:t>Immediate Superior:</w:t>
            </w:r>
          </w:p>
        </w:tc>
        <w:tc>
          <w:tcPr>
            <w:tcW w:w="7040" w:type="dxa"/>
            <w:vMerge/>
            <w:vAlign w:val="bottom"/>
          </w:tcPr>
          <w:p w:rsidR="00D91F82" w:rsidRDefault="00D91F82">
            <w:pPr>
              <w:rPr>
                <w:sz w:val="23"/>
                <w:szCs w:val="23"/>
              </w:rPr>
            </w:pPr>
          </w:p>
        </w:tc>
        <w:tc>
          <w:tcPr>
            <w:tcW w:w="0" w:type="dxa"/>
            <w:vAlign w:val="bottom"/>
          </w:tcPr>
          <w:p w:rsidR="00D91F82" w:rsidRDefault="00D91F82">
            <w:pPr>
              <w:rPr>
                <w:sz w:val="1"/>
                <w:szCs w:val="1"/>
              </w:rPr>
            </w:pPr>
          </w:p>
        </w:tc>
      </w:tr>
      <w:tr w:rsidR="00D91F82">
        <w:trPr>
          <w:trHeight w:val="269"/>
        </w:trPr>
        <w:tc>
          <w:tcPr>
            <w:tcW w:w="9040" w:type="dxa"/>
            <w:gridSpan w:val="3"/>
            <w:vAlign w:val="bottom"/>
          </w:tcPr>
          <w:p w:rsidR="00D91F82" w:rsidRDefault="006C53E8">
            <w:pPr>
              <w:rPr>
                <w:sz w:val="20"/>
                <w:szCs w:val="20"/>
              </w:rPr>
            </w:pPr>
            <w:r>
              <w:rPr>
                <w:rFonts w:ascii="Arial" w:eastAsia="Arial" w:hAnsi="Arial" w:cs="Arial"/>
                <w:b/>
                <w:bCs/>
              </w:rPr>
              <w:t>January 2009 – February 28, 2010</w:t>
            </w:r>
          </w:p>
        </w:tc>
        <w:tc>
          <w:tcPr>
            <w:tcW w:w="0" w:type="dxa"/>
            <w:vAlign w:val="bottom"/>
          </w:tcPr>
          <w:p w:rsidR="00D91F82" w:rsidRDefault="00D91F82">
            <w:pPr>
              <w:rPr>
                <w:sz w:val="1"/>
                <w:szCs w:val="1"/>
              </w:rPr>
            </w:pPr>
          </w:p>
        </w:tc>
      </w:tr>
      <w:tr w:rsidR="00D91F82">
        <w:trPr>
          <w:trHeight w:val="107"/>
        </w:trPr>
        <w:tc>
          <w:tcPr>
            <w:tcW w:w="2000" w:type="dxa"/>
            <w:gridSpan w:val="2"/>
            <w:vAlign w:val="bottom"/>
          </w:tcPr>
          <w:p w:rsidR="00D91F82" w:rsidRDefault="006C53E8">
            <w:pPr>
              <w:spacing w:line="107" w:lineRule="exact"/>
              <w:rPr>
                <w:sz w:val="20"/>
                <w:szCs w:val="20"/>
              </w:rPr>
            </w:pPr>
            <w:r>
              <w:rPr>
                <w:rFonts w:ascii="Arial" w:eastAsia="Arial" w:hAnsi="Arial" w:cs="Arial"/>
                <w:b/>
                <w:bCs/>
                <w:sz w:val="12"/>
                <w:szCs w:val="12"/>
              </w:rPr>
              <w:t>Immediate Superior:</w:t>
            </w:r>
          </w:p>
        </w:tc>
        <w:tc>
          <w:tcPr>
            <w:tcW w:w="7040" w:type="dxa"/>
            <w:vAlign w:val="bottom"/>
          </w:tcPr>
          <w:p w:rsidR="00D91F82" w:rsidRDefault="006C53E8">
            <w:pPr>
              <w:spacing w:line="107" w:lineRule="exact"/>
              <w:ind w:left="160"/>
              <w:rPr>
                <w:sz w:val="20"/>
                <w:szCs w:val="20"/>
              </w:rPr>
            </w:pPr>
            <w:r>
              <w:rPr>
                <w:rFonts w:ascii="Arial" w:eastAsia="Arial" w:hAnsi="Arial" w:cs="Arial"/>
                <w:b/>
                <w:bCs/>
                <w:sz w:val="12"/>
                <w:szCs w:val="12"/>
              </w:rPr>
              <w:t>Daisy P. Nicdao, Finance Supervisor</w:t>
            </w:r>
          </w:p>
        </w:tc>
        <w:tc>
          <w:tcPr>
            <w:tcW w:w="0" w:type="dxa"/>
            <w:vAlign w:val="bottom"/>
          </w:tcPr>
          <w:p w:rsidR="00D91F82" w:rsidRDefault="00D91F82">
            <w:pPr>
              <w:rPr>
                <w:sz w:val="1"/>
                <w:szCs w:val="1"/>
              </w:rPr>
            </w:pPr>
          </w:p>
        </w:tc>
      </w:tr>
    </w:tbl>
    <w:p w:rsidR="00D91F82" w:rsidRDefault="006C53E8">
      <w:pPr>
        <w:rPr>
          <w:sz w:val="20"/>
          <w:szCs w:val="20"/>
        </w:rPr>
      </w:pPr>
      <w:r>
        <w:rPr>
          <w:rFonts w:ascii="Arial" w:eastAsia="Arial" w:hAnsi="Arial" w:cs="Arial"/>
          <w:b/>
          <w:bCs/>
        </w:rPr>
        <w:t>April 21, 2008 – December 31, 2008</w:t>
      </w:r>
    </w:p>
    <w:p w:rsidR="00D91F82" w:rsidRDefault="00D91F82">
      <w:pPr>
        <w:spacing w:line="270" w:lineRule="exact"/>
        <w:rPr>
          <w:sz w:val="24"/>
          <w:szCs w:val="24"/>
        </w:rPr>
      </w:pPr>
    </w:p>
    <w:p w:rsidR="00D91F82" w:rsidRDefault="006C53E8">
      <w:pPr>
        <w:spacing w:line="320" w:lineRule="auto"/>
        <w:ind w:left="720" w:right="180"/>
        <w:rPr>
          <w:sz w:val="24"/>
          <w:szCs w:val="24"/>
        </w:rPr>
      </w:pPr>
      <w:r>
        <w:rPr>
          <w:rFonts w:ascii="Arial" w:eastAsia="Arial" w:hAnsi="Arial" w:cs="Arial"/>
          <w:b/>
          <w:bCs/>
          <w:sz w:val="18"/>
          <w:szCs w:val="18"/>
        </w:rPr>
        <w:t>Gathers and checks all supporting documents for payment of suppliers, reimbursable expenses of cancelled workers, cash advances of employees, petty cash replenishments, computation of separation pay of employees, amicable settlement on potential legal cases,</w:t>
      </w:r>
    </w:p>
    <w:p w:rsidR="00D91F82" w:rsidRDefault="00D91F82">
      <w:pPr>
        <w:spacing w:line="2" w:lineRule="exact"/>
        <w:rPr>
          <w:sz w:val="24"/>
          <w:szCs w:val="24"/>
        </w:rPr>
      </w:pPr>
    </w:p>
    <w:p w:rsidR="00D91F82" w:rsidRDefault="006C53E8">
      <w:pPr>
        <w:ind w:left="360"/>
        <w:jc w:val="both"/>
        <w:rPr>
          <w:sz w:val="24"/>
          <w:szCs w:val="24"/>
        </w:rPr>
      </w:pPr>
      <w:r>
        <w:rPr>
          <w:rFonts w:ascii="Arial" w:eastAsia="Arial" w:hAnsi="Arial" w:cs="Arial"/>
          <w:b/>
          <w:bCs/>
        </w:rPr>
        <w:t>fund subject for immediate liquidation in preparation for check vouchering;</w:t>
      </w:r>
    </w:p>
    <w:p w:rsidR="00D91F82" w:rsidRDefault="00D91F82">
      <w:pPr>
        <w:spacing w:line="27" w:lineRule="exact"/>
        <w:rPr>
          <w:sz w:val="24"/>
          <w:szCs w:val="24"/>
        </w:rPr>
      </w:pPr>
    </w:p>
    <w:p w:rsidR="00D91F82" w:rsidRDefault="006C53E8">
      <w:pPr>
        <w:spacing w:line="265" w:lineRule="auto"/>
        <w:ind w:left="720" w:right="80"/>
        <w:jc w:val="both"/>
        <w:rPr>
          <w:sz w:val="24"/>
          <w:szCs w:val="24"/>
        </w:rPr>
      </w:pPr>
      <w:r>
        <w:rPr>
          <w:rFonts w:ascii="Arial" w:eastAsia="Arial" w:hAnsi="Arial" w:cs="Arial"/>
          <w:b/>
          <w:bCs/>
        </w:rPr>
        <w:t>Prepares internal invoice for incidentals incurred by clients paid in advance by the company; Prepares bank reconciliation report;</w:t>
      </w:r>
    </w:p>
    <w:p w:rsidR="00D91F82" w:rsidRDefault="006C53E8">
      <w:pPr>
        <w:spacing w:line="311" w:lineRule="auto"/>
        <w:ind w:left="720" w:right="40"/>
        <w:rPr>
          <w:sz w:val="24"/>
          <w:szCs w:val="24"/>
        </w:rPr>
      </w:pPr>
      <w:r>
        <w:rPr>
          <w:rFonts w:ascii="Arial" w:eastAsia="Arial" w:hAnsi="Arial" w:cs="Arial"/>
          <w:b/>
          <w:bCs/>
          <w:sz w:val="18"/>
          <w:szCs w:val="18"/>
        </w:rPr>
        <w:t>Prepares monthly, quarterly and yearly tax filings: Tax Form 2316 Annual Income Tax Return of Employees (W2), 1604CF Annual Alphalist of Employees, 1604E Annual Alphalist of Employees subject to Expanded Withholding Tax, 1601-C Withholding Tax on Compensation, 1601-E Expanded Withholding Tax, 2550M Monthly VAT Remittance, 2550Q Quarterly VAT</w:t>
      </w:r>
    </w:p>
    <w:p w:rsidR="00D91F82" w:rsidRDefault="00D91F82">
      <w:pPr>
        <w:spacing w:line="2" w:lineRule="exact"/>
        <w:rPr>
          <w:sz w:val="24"/>
          <w:szCs w:val="24"/>
        </w:rPr>
      </w:pPr>
    </w:p>
    <w:p w:rsidR="00D91F82" w:rsidRDefault="006C53E8">
      <w:pPr>
        <w:ind w:left="360"/>
        <w:jc w:val="both"/>
        <w:rPr>
          <w:sz w:val="24"/>
          <w:szCs w:val="24"/>
        </w:rPr>
      </w:pPr>
      <w:r>
        <w:rPr>
          <w:rFonts w:ascii="Arial" w:eastAsia="Arial" w:hAnsi="Arial" w:cs="Arial"/>
          <w:b/>
          <w:bCs/>
        </w:rPr>
        <w:t>Remittance;</w:t>
      </w:r>
    </w:p>
    <w:p w:rsidR="00D91F82" w:rsidRDefault="00D91F82">
      <w:pPr>
        <w:spacing w:line="27" w:lineRule="exact"/>
        <w:rPr>
          <w:sz w:val="24"/>
          <w:szCs w:val="24"/>
        </w:rPr>
      </w:pPr>
    </w:p>
    <w:p w:rsidR="00D91F82" w:rsidRDefault="006C53E8">
      <w:pPr>
        <w:spacing w:line="271" w:lineRule="auto"/>
        <w:ind w:left="720" w:right="220"/>
        <w:jc w:val="both"/>
        <w:rPr>
          <w:sz w:val="24"/>
          <w:szCs w:val="24"/>
        </w:rPr>
      </w:pPr>
      <w:r>
        <w:rPr>
          <w:rFonts w:ascii="Arial" w:eastAsia="Arial" w:hAnsi="Arial" w:cs="Arial"/>
          <w:b/>
          <w:bCs/>
          <w:sz w:val="21"/>
          <w:szCs w:val="21"/>
        </w:rPr>
        <w:t>Assists in preparation of quarterly and annual Income Tax Returns – prepares monthly trial balance, audits official receipts and daily collection report;</w:t>
      </w:r>
    </w:p>
    <w:p w:rsidR="00D91F82" w:rsidRDefault="00D91F82">
      <w:pPr>
        <w:spacing w:line="1" w:lineRule="exact"/>
        <w:rPr>
          <w:sz w:val="24"/>
          <w:szCs w:val="24"/>
        </w:rPr>
      </w:pPr>
    </w:p>
    <w:p w:rsidR="00D91F82" w:rsidRDefault="006C53E8">
      <w:pPr>
        <w:ind w:left="360"/>
        <w:jc w:val="both"/>
        <w:rPr>
          <w:sz w:val="24"/>
          <w:szCs w:val="24"/>
        </w:rPr>
      </w:pPr>
      <w:r>
        <w:rPr>
          <w:rFonts w:ascii="Arial" w:eastAsia="Arial" w:hAnsi="Arial" w:cs="Arial"/>
          <w:b/>
          <w:bCs/>
        </w:rPr>
        <w:t>Assists in the preparation of the annual audited financial statements;</w:t>
      </w:r>
    </w:p>
    <w:p w:rsidR="00D91F82" w:rsidRDefault="00D91F82">
      <w:pPr>
        <w:spacing w:line="27" w:lineRule="exact"/>
        <w:rPr>
          <w:sz w:val="24"/>
          <w:szCs w:val="24"/>
        </w:rPr>
      </w:pPr>
    </w:p>
    <w:p w:rsidR="00D91F82" w:rsidRDefault="006C53E8">
      <w:pPr>
        <w:spacing w:line="710" w:lineRule="auto"/>
        <w:ind w:left="720" w:right="580"/>
        <w:jc w:val="both"/>
        <w:rPr>
          <w:sz w:val="24"/>
          <w:szCs w:val="24"/>
        </w:rPr>
      </w:pPr>
      <w:r>
        <w:rPr>
          <w:rFonts w:ascii="Arial" w:eastAsia="Arial" w:hAnsi="Arial" w:cs="Arial"/>
          <w:b/>
          <w:bCs/>
          <w:sz w:val="18"/>
          <w:szCs w:val="18"/>
        </w:rPr>
        <w:t>Prepares monthly remittances on other government statutory deductions and loans of employees on Social Security, Home Development Mutual Fund, Phil Health Insurance;</w:t>
      </w:r>
    </w:p>
    <w:p w:rsidR="00D91F82" w:rsidRDefault="00D91F82">
      <w:pPr>
        <w:sectPr w:rsidR="00D91F82">
          <w:pgSz w:w="11900" w:h="16838"/>
          <w:pgMar w:top="959" w:right="1420" w:bottom="1027" w:left="1440" w:header="0" w:footer="0" w:gutter="0"/>
          <w:cols w:space="720" w:equalWidth="0">
            <w:col w:w="9040"/>
          </w:cols>
        </w:sectPr>
      </w:pPr>
    </w:p>
    <w:p w:rsidR="00D91F82" w:rsidRDefault="006C53E8">
      <w:pPr>
        <w:spacing w:line="325" w:lineRule="auto"/>
        <w:ind w:left="720" w:right="220"/>
        <w:rPr>
          <w:sz w:val="20"/>
          <w:szCs w:val="20"/>
        </w:rPr>
      </w:pPr>
      <w:bookmarkStart w:id="2" w:name="page2"/>
      <w:bookmarkEnd w:id="2"/>
      <w:r>
        <w:rPr>
          <w:rFonts w:ascii="Arial" w:eastAsia="Arial" w:hAnsi="Arial" w:cs="Arial"/>
          <w:b/>
          <w:bCs/>
          <w:sz w:val="18"/>
          <w:szCs w:val="18"/>
        </w:rPr>
        <w:lastRenderedPageBreak/>
        <w:t>Computes and process employees’ payroll which includes: timekeeping, government deductions (withholding tax, Social Security, health insurance, Home Development Mutual</w:t>
      </w:r>
    </w:p>
    <w:p w:rsidR="00D91F82" w:rsidRDefault="00D91F82">
      <w:pPr>
        <w:spacing w:line="1" w:lineRule="exact"/>
        <w:rPr>
          <w:sz w:val="20"/>
          <w:szCs w:val="20"/>
        </w:rPr>
      </w:pPr>
    </w:p>
    <w:p w:rsidR="00D91F82" w:rsidRDefault="006C53E8">
      <w:pPr>
        <w:ind w:left="360"/>
        <w:jc w:val="both"/>
        <w:rPr>
          <w:sz w:val="20"/>
          <w:szCs w:val="20"/>
        </w:rPr>
      </w:pPr>
      <w:r>
        <w:rPr>
          <w:rFonts w:ascii="Arial" w:eastAsia="Arial" w:hAnsi="Arial" w:cs="Arial"/>
          <w:b/>
          <w:bCs/>
        </w:rPr>
        <w:t>Fund), loans, and payroll adjustments;</w:t>
      </w:r>
    </w:p>
    <w:p w:rsidR="00D91F82" w:rsidRDefault="00D91F82">
      <w:pPr>
        <w:spacing w:line="27" w:lineRule="exact"/>
        <w:rPr>
          <w:sz w:val="20"/>
          <w:szCs w:val="20"/>
        </w:rPr>
      </w:pPr>
    </w:p>
    <w:p w:rsidR="00D91F82" w:rsidRDefault="006C53E8">
      <w:pPr>
        <w:spacing w:line="265" w:lineRule="auto"/>
        <w:ind w:left="720" w:right="1140"/>
        <w:jc w:val="both"/>
        <w:rPr>
          <w:sz w:val="20"/>
          <w:szCs w:val="20"/>
        </w:rPr>
      </w:pPr>
      <w:r>
        <w:rPr>
          <w:rFonts w:ascii="Arial" w:eastAsia="Arial" w:hAnsi="Arial" w:cs="Arial"/>
          <w:b/>
          <w:bCs/>
        </w:rPr>
        <w:t>Process surety bond of legal cases for appeal and application of its time deposit; Monitoring and updating of 201 files of all employees;</w:t>
      </w:r>
    </w:p>
    <w:p w:rsidR="00D91F82" w:rsidRDefault="006C53E8">
      <w:pPr>
        <w:ind w:left="360"/>
        <w:jc w:val="both"/>
        <w:rPr>
          <w:sz w:val="20"/>
          <w:szCs w:val="20"/>
        </w:rPr>
      </w:pPr>
      <w:r>
        <w:rPr>
          <w:rFonts w:ascii="Arial" w:eastAsia="Arial" w:hAnsi="Arial" w:cs="Arial"/>
          <w:b/>
          <w:bCs/>
        </w:rPr>
        <w:t>Bring up to date on new tax and labor policies;</w:t>
      </w:r>
    </w:p>
    <w:p w:rsidR="00D91F82" w:rsidRDefault="00D91F82">
      <w:pPr>
        <w:spacing w:line="27" w:lineRule="exact"/>
        <w:rPr>
          <w:sz w:val="20"/>
          <w:szCs w:val="20"/>
        </w:rPr>
      </w:pPr>
    </w:p>
    <w:p w:rsidR="00D91F82" w:rsidRDefault="006C53E8">
      <w:pPr>
        <w:spacing w:line="265" w:lineRule="auto"/>
        <w:ind w:left="720" w:right="1080"/>
        <w:jc w:val="both"/>
        <w:rPr>
          <w:sz w:val="20"/>
          <w:szCs w:val="20"/>
        </w:rPr>
      </w:pPr>
      <w:r>
        <w:rPr>
          <w:rFonts w:ascii="Arial" w:eastAsia="Arial" w:hAnsi="Arial" w:cs="Arial"/>
          <w:b/>
          <w:bCs/>
        </w:rPr>
        <w:t>Maintains books of accounts – Cash Disbursement Book and Cash Receipts Book; Prepares monthly trial balance report;</w:t>
      </w:r>
    </w:p>
    <w:p w:rsidR="00D91F82" w:rsidRDefault="006C53E8">
      <w:pPr>
        <w:spacing w:line="301" w:lineRule="auto"/>
        <w:ind w:left="720" w:right="560"/>
        <w:jc w:val="both"/>
        <w:rPr>
          <w:sz w:val="20"/>
          <w:szCs w:val="20"/>
        </w:rPr>
      </w:pPr>
      <w:r>
        <w:rPr>
          <w:rFonts w:ascii="Arial" w:eastAsia="Arial" w:hAnsi="Arial" w:cs="Arial"/>
          <w:b/>
          <w:bCs/>
          <w:sz w:val="19"/>
          <w:szCs w:val="19"/>
        </w:rPr>
        <w:t>Maintains a Processing Fund released to Liaison officers for the purpose of payment of workers’ compliance for deployment (OECs, visa, authentication and translation);</w:t>
      </w:r>
    </w:p>
    <w:p w:rsidR="00D91F82" w:rsidRDefault="00D91F82">
      <w:pPr>
        <w:spacing w:line="1" w:lineRule="exact"/>
        <w:rPr>
          <w:sz w:val="20"/>
          <w:szCs w:val="20"/>
        </w:rPr>
      </w:pPr>
    </w:p>
    <w:p w:rsidR="00D91F82" w:rsidRDefault="006C53E8">
      <w:pPr>
        <w:spacing w:line="311" w:lineRule="auto"/>
        <w:ind w:left="720"/>
        <w:rPr>
          <w:sz w:val="20"/>
          <w:szCs w:val="20"/>
        </w:rPr>
      </w:pPr>
      <w:r>
        <w:rPr>
          <w:rFonts w:ascii="Arial" w:eastAsia="Arial" w:hAnsi="Arial" w:cs="Arial"/>
          <w:b/>
          <w:bCs/>
          <w:sz w:val="18"/>
          <w:szCs w:val="18"/>
        </w:rPr>
        <w:t>Attends BIR (Bureau of Internal Revenue) meetings for concerns such as LOA (Letter of Authority) or other Regional Division Office/Special Investigation Division/ VAT Audit Division</w:t>
      </w:r>
    </w:p>
    <w:p w:rsidR="00D91F82" w:rsidRDefault="00D91F82">
      <w:pPr>
        <w:spacing w:line="1" w:lineRule="exact"/>
        <w:rPr>
          <w:sz w:val="20"/>
          <w:szCs w:val="20"/>
        </w:rPr>
      </w:pPr>
    </w:p>
    <w:p w:rsidR="00D91F82" w:rsidRDefault="006C53E8">
      <w:pPr>
        <w:ind w:left="360"/>
        <w:jc w:val="both"/>
        <w:rPr>
          <w:sz w:val="20"/>
          <w:szCs w:val="20"/>
        </w:rPr>
      </w:pPr>
      <w:r>
        <w:rPr>
          <w:rFonts w:ascii="Arial" w:eastAsia="Arial" w:hAnsi="Arial" w:cs="Arial"/>
          <w:b/>
          <w:bCs/>
        </w:rPr>
        <w:t>notices;</w:t>
      </w:r>
    </w:p>
    <w:p w:rsidR="00D91F82" w:rsidRDefault="00D91F82">
      <w:pPr>
        <w:spacing w:line="27" w:lineRule="exact"/>
        <w:rPr>
          <w:sz w:val="20"/>
          <w:szCs w:val="20"/>
        </w:rPr>
      </w:pPr>
    </w:p>
    <w:p w:rsidR="00D91F82" w:rsidRDefault="006C53E8">
      <w:pPr>
        <w:ind w:left="360"/>
        <w:jc w:val="both"/>
        <w:rPr>
          <w:sz w:val="20"/>
          <w:szCs w:val="20"/>
        </w:rPr>
      </w:pPr>
      <w:r>
        <w:rPr>
          <w:rFonts w:ascii="Arial" w:eastAsia="Arial" w:hAnsi="Arial" w:cs="Arial"/>
          <w:b/>
          <w:bCs/>
        </w:rPr>
        <w:t>Attends on seminars involving tax and payroll concerns;</w:t>
      </w:r>
    </w:p>
    <w:p w:rsidR="00D91F82" w:rsidRDefault="00D91F82">
      <w:pPr>
        <w:spacing w:line="25" w:lineRule="exact"/>
        <w:rPr>
          <w:sz w:val="20"/>
          <w:szCs w:val="20"/>
        </w:rPr>
      </w:pPr>
    </w:p>
    <w:p w:rsidR="00D91F82" w:rsidRDefault="006C53E8">
      <w:pPr>
        <w:spacing w:line="260" w:lineRule="auto"/>
        <w:ind w:left="720"/>
        <w:jc w:val="both"/>
        <w:rPr>
          <w:sz w:val="20"/>
          <w:szCs w:val="20"/>
        </w:rPr>
      </w:pPr>
      <w:r>
        <w:rPr>
          <w:rFonts w:ascii="Arial" w:eastAsia="Arial" w:hAnsi="Arial" w:cs="Arial"/>
          <w:b/>
          <w:bCs/>
        </w:rPr>
        <w:t>Organizes company’s events – outreach program, summer outing, anniversary and Christmas parties;</w:t>
      </w:r>
    </w:p>
    <w:p w:rsidR="00D91F82" w:rsidRDefault="00D91F82">
      <w:pPr>
        <w:spacing w:line="1" w:lineRule="exact"/>
        <w:rPr>
          <w:sz w:val="20"/>
          <w:szCs w:val="20"/>
        </w:rPr>
      </w:pPr>
    </w:p>
    <w:p w:rsidR="00D91F82" w:rsidRDefault="006C53E8">
      <w:pPr>
        <w:ind w:left="360"/>
        <w:jc w:val="both"/>
        <w:rPr>
          <w:sz w:val="20"/>
          <w:szCs w:val="20"/>
        </w:rPr>
      </w:pPr>
      <w:r>
        <w:rPr>
          <w:rFonts w:ascii="Arial" w:eastAsia="Arial" w:hAnsi="Arial" w:cs="Arial"/>
          <w:b/>
          <w:bCs/>
        </w:rPr>
        <w:t>August-September 2010 – reliever on credit &amp; collection;</w:t>
      </w:r>
    </w:p>
    <w:p w:rsidR="00D91F82" w:rsidRDefault="00D91F82">
      <w:pPr>
        <w:spacing w:line="27" w:lineRule="exact"/>
        <w:rPr>
          <w:sz w:val="20"/>
          <w:szCs w:val="20"/>
        </w:rPr>
      </w:pPr>
    </w:p>
    <w:p w:rsidR="00D91F82" w:rsidRDefault="006C53E8">
      <w:pPr>
        <w:spacing w:line="320" w:lineRule="auto"/>
        <w:ind w:left="720"/>
        <w:rPr>
          <w:sz w:val="20"/>
          <w:szCs w:val="20"/>
        </w:rPr>
      </w:pPr>
      <w:r>
        <w:rPr>
          <w:rFonts w:ascii="Arial" w:eastAsia="Arial" w:hAnsi="Arial" w:cs="Arial"/>
          <w:b/>
          <w:bCs/>
          <w:sz w:val="21"/>
          <w:szCs w:val="21"/>
        </w:rPr>
        <w:t>Other tasks include: reliever on cashiering, in-charge for purchasing of office and admin supplies, overall in charge of company’s affiliates: YWA Trade Test &amp; Training Center Inc, YWA Workforce Phils Inc, QA Dynamic Workforce Solutions Inc., which includes books of accounts, collection, Income Statement report in preparation of Income Tax Return filing, tax filing and payroll of employees.</w:t>
      </w:r>
    </w:p>
    <w:p w:rsidR="00D91F82" w:rsidRDefault="00D91F82">
      <w:pPr>
        <w:spacing w:line="1" w:lineRule="exact"/>
        <w:rPr>
          <w:sz w:val="20"/>
          <w:szCs w:val="20"/>
        </w:rPr>
      </w:pPr>
    </w:p>
    <w:p w:rsidR="00D91F82" w:rsidRDefault="006C53E8">
      <w:pPr>
        <w:rPr>
          <w:sz w:val="20"/>
          <w:szCs w:val="20"/>
        </w:rPr>
      </w:pPr>
      <w:r>
        <w:rPr>
          <w:rFonts w:ascii="Arial" w:eastAsia="Arial" w:hAnsi="Arial" w:cs="Arial"/>
          <w:b/>
          <w:bCs/>
        </w:rPr>
        <w:t>MJM RICEMILL</w:t>
      </w:r>
    </w:p>
    <w:p w:rsidR="00D91F82" w:rsidRDefault="00D91F82">
      <w:pPr>
        <w:spacing w:line="16" w:lineRule="exact"/>
        <w:rPr>
          <w:sz w:val="20"/>
          <w:szCs w:val="20"/>
        </w:rPr>
      </w:pPr>
    </w:p>
    <w:p w:rsidR="00D91F82" w:rsidRDefault="006C53E8">
      <w:pPr>
        <w:rPr>
          <w:sz w:val="20"/>
          <w:szCs w:val="20"/>
        </w:rPr>
      </w:pPr>
      <w:r>
        <w:rPr>
          <w:rFonts w:ascii="Arial" w:eastAsia="Arial" w:hAnsi="Arial" w:cs="Arial"/>
          <w:b/>
          <w:bCs/>
        </w:rPr>
        <w:t>MJM Ricemill, Intercity, Wakas, Bocaue, Bulacan</w:t>
      </w:r>
    </w:p>
    <w:p w:rsidR="00D91F82" w:rsidRDefault="00D91F82">
      <w:pPr>
        <w:spacing w:line="16" w:lineRule="exact"/>
        <w:rPr>
          <w:sz w:val="20"/>
          <w:szCs w:val="20"/>
        </w:rPr>
      </w:pPr>
    </w:p>
    <w:p w:rsidR="00D91F82" w:rsidRDefault="006C53E8">
      <w:pPr>
        <w:spacing w:line="255" w:lineRule="auto"/>
        <w:rPr>
          <w:sz w:val="20"/>
          <w:szCs w:val="20"/>
        </w:rPr>
      </w:pPr>
      <w:r>
        <w:rPr>
          <w:rFonts w:ascii="Arial" w:eastAsia="Arial" w:hAnsi="Arial" w:cs="Arial"/>
          <w:b/>
          <w:bCs/>
          <w:color w:val="808080"/>
        </w:rPr>
        <w:t>A sole proprietor business engaged in rice milling, wholesale rice trading and supplying rice to various well-known restaurants in the Philippines.</w:t>
      </w:r>
    </w:p>
    <w:p w:rsidR="00D91F82" w:rsidRDefault="00D91F82">
      <w:pPr>
        <w:spacing w:line="285" w:lineRule="exact"/>
        <w:rPr>
          <w:sz w:val="20"/>
          <w:szCs w:val="20"/>
        </w:rPr>
      </w:pPr>
    </w:p>
    <w:p w:rsidR="00D91F82" w:rsidRDefault="006C53E8">
      <w:pPr>
        <w:rPr>
          <w:sz w:val="20"/>
          <w:szCs w:val="20"/>
        </w:rPr>
      </w:pPr>
      <w:r>
        <w:rPr>
          <w:rFonts w:ascii="Arial" w:eastAsia="Arial" w:hAnsi="Arial" w:cs="Arial"/>
          <w:b/>
          <w:bCs/>
        </w:rPr>
        <w:t>Accountant</w:t>
      </w:r>
    </w:p>
    <w:p w:rsidR="00D91F82" w:rsidRDefault="00D91F82">
      <w:pPr>
        <w:spacing w:line="13" w:lineRule="exact"/>
        <w:rPr>
          <w:sz w:val="20"/>
          <w:szCs w:val="20"/>
        </w:rPr>
      </w:pPr>
    </w:p>
    <w:p w:rsidR="00D91F82" w:rsidRDefault="006C53E8">
      <w:pPr>
        <w:spacing w:line="376" w:lineRule="auto"/>
        <w:ind w:right="4540"/>
        <w:rPr>
          <w:sz w:val="20"/>
          <w:szCs w:val="20"/>
        </w:rPr>
      </w:pPr>
      <w:r>
        <w:rPr>
          <w:rFonts w:ascii="Arial" w:eastAsia="Arial" w:hAnsi="Arial" w:cs="Arial"/>
          <w:b/>
          <w:bCs/>
        </w:rPr>
        <w:t>Immediate Superior: Maika G. Mariano, Owner January 7, 2008 – April 18, 2008</w:t>
      </w:r>
    </w:p>
    <w:p w:rsidR="00D91F82" w:rsidRDefault="00D91F82">
      <w:pPr>
        <w:spacing w:line="2" w:lineRule="exact"/>
        <w:rPr>
          <w:sz w:val="20"/>
          <w:szCs w:val="20"/>
        </w:rPr>
      </w:pPr>
    </w:p>
    <w:p w:rsidR="00D91F82" w:rsidRDefault="006C53E8">
      <w:pPr>
        <w:spacing w:line="389" w:lineRule="auto"/>
        <w:ind w:left="720" w:right="2060"/>
        <w:rPr>
          <w:sz w:val="20"/>
          <w:szCs w:val="20"/>
        </w:rPr>
      </w:pPr>
      <w:r>
        <w:rPr>
          <w:rFonts w:ascii="Arial" w:eastAsia="Arial" w:hAnsi="Arial" w:cs="Arial"/>
          <w:b/>
          <w:bCs/>
          <w:sz w:val="20"/>
          <w:szCs w:val="20"/>
        </w:rPr>
        <w:t>Maintains petty cash fund amounting to Php20,000 replenished daily; Prepares daily cash position report and monthly bank reconciliation; Prepares payroll for employees and workers.</w:t>
      </w:r>
    </w:p>
    <w:p w:rsidR="00D91F82" w:rsidRDefault="00D91F82">
      <w:pPr>
        <w:spacing w:line="3" w:lineRule="exact"/>
        <w:rPr>
          <w:sz w:val="20"/>
          <w:szCs w:val="20"/>
        </w:rPr>
      </w:pPr>
    </w:p>
    <w:p w:rsidR="00D91F82" w:rsidRDefault="006C53E8">
      <w:pPr>
        <w:rPr>
          <w:sz w:val="20"/>
          <w:szCs w:val="20"/>
        </w:rPr>
      </w:pPr>
      <w:r>
        <w:rPr>
          <w:rFonts w:ascii="Arial" w:eastAsia="Arial" w:hAnsi="Arial" w:cs="Arial"/>
          <w:b/>
          <w:bCs/>
          <w:u w:val="single"/>
        </w:rPr>
        <w:t>SKILLS</w:t>
      </w:r>
    </w:p>
    <w:p w:rsidR="00D91F82" w:rsidRDefault="00D91F82">
      <w:pPr>
        <w:spacing w:line="273" w:lineRule="exact"/>
        <w:rPr>
          <w:sz w:val="20"/>
          <w:szCs w:val="20"/>
        </w:rPr>
      </w:pPr>
    </w:p>
    <w:p w:rsidR="00D91F82" w:rsidRDefault="006C53E8">
      <w:pPr>
        <w:ind w:left="360"/>
        <w:jc w:val="both"/>
        <w:rPr>
          <w:sz w:val="20"/>
          <w:szCs w:val="20"/>
        </w:rPr>
      </w:pPr>
      <w:r>
        <w:rPr>
          <w:rFonts w:ascii="Arial" w:eastAsia="Arial" w:hAnsi="Arial" w:cs="Arial"/>
          <w:b/>
          <w:bCs/>
        </w:rPr>
        <w:t>Expert skill on MS Excel</w:t>
      </w:r>
    </w:p>
    <w:p w:rsidR="00D91F82" w:rsidRDefault="00D91F82">
      <w:pPr>
        <w:spacing w:line="51" w:lineRule="exact"/>
        <w:rPr>
          <w:sz w:val="20"/>
          <w:szCs w:val="20"/>
        </w:rPr>
      </w:pPr>
    </w:p>
    <w:p w:rsidR="00D91F82" w:rsidRDefault="006C53E8">
      <w:pPr>
        <w:spacing w:line="308" w:lineRule="auto"/>
        <w:ind w:left="720" w:right="5560"/>
        <w:jc w:val="both"/>
        <w:rPr>
          <w:sz w:val="20"/>
          <w:szCs w:val="20"/>
        </w:rPr>
      </w:pPr>
      <w:r>
        <w:rPr>
          <w:rFonts w:ascii="Arial" w:eastAsia="Arial" w:hAnsi="Arial" w:cs="Arial"/>
          <w:b/>
          <w:bCs/>
          <w:sz w:val="19"/>
          <w:szCs w:val="19"/>
        </w:rPr>
        <w:t>Intermediate skill on MS Word Knowledge in MS Access</w:t>
      </w:r>
    </w:p>
    <w:p w:rsidR="00D91F82" w:rsidRDefault="006C53E8">
      <w:pPr>
        <w:ind w:left="360"/>
        <w:jc w:val="both"/>
        <w:rPr>
          <w:sz w:val="20"/>
          <w:szCs w:val="20"/>
        </w:rPr>
      </w:pPr>
      <w:r>
        <w:rPr>
          <w:rFonts w:ascii="Arial" w:eastAsia="Arial" w:hAnsi="Arial" w:cs="Arial"/>
          <w:b/>
          <w:bCs/>
        </w:rPr>
        <w:t>Knowledge in MS Outlook</w:t>
      </w:r>
    </w:p>
    <w:p w:rsidR="00D91F82" w:rsidRDefault="00D91F82">
      <w:pPr>
        <w:spacing w:line="25" w:lineRule="exact"/>
        <w:rPr>
          <w:sz w:val="20"/>
          <w:szCs w:val="20"/>
        </w:rPr>
      </w:pPr>
    </w:p>
    <w:p w:rsidR="00D91F82" w:rsidRDefault="006C53E8">
      <w:pPr>
        <w:spacing w:line="266" w:lineRule="auto"/>
        <w:ind w:left="720" w:right="3680"/>
        <w:jc w:val="both"/>
        <w:rPr>
          <w:sz w:val="20"/>
          <w:szCs w:val="20"/>
        </w:rPr>
      </w:pPr>
      <w:r>
        <w:rPr>
          <w:rFonts w:ascii="Arial" w:eastAsia="Arial" w:hAnsi="Arial" w:cs="Arial"/>
          <w:b/>
          <w:bCs/>
        </w:rPr>
        <w:t>Knowledge in Internet Explorer and Google Chrome Event Organizer</w:t>
      </w:r>
    </w:p>
    <w:p w:rsidR="00D91F82" w:rsidRDefault="006C53E8">
      <w:pPr>
        <w:ind w:left="360"/>
        <w:jc w:val="both"/>
        <w:rPr>
          <w:sz w:val="20"/>
          <w:szCs w:val="20"/>
        </w:rPr>
      </w:pPr>
      <w:r>
        <w:rPr>
          <w:rFonts w:ascii="Arial" w:eastAsia="Arial" w:hAnsi="Arial" w:cs="Arial"/>
          <w:b/>
          <w:bCs/>
        </w:rPr>
        <w:t>Payroll Master</w:t>
      </w:r>
    </w:p>
    <w:p w:rsidR="00D91F82" w:rsidRDefault="00D91F82">
      <w:pPr>
        <w:sectPr w:rsidR="00D91F82">
          <w:pgSz w:w="11900" w:h="16838"/>
          <w:pgMar w:top="1203" w:right="1440" w:bottom="1440" w:left="1440" w:header="0" w:footer="0" w:gutter="0"/>
          <w:cols w:space="720" w:equalWidth="0">
            <w:col w:w="9020"/>
          </w:cols>
        </w:sectPr>
      </w:pPr>
    </w:p>
    <w:p w:rsidR="00D91F82" w:rsidRDefault="006C53E8">
      <w:pPr>
        <w:rPr>
          <w:sz w:val="20"/>
          <w:szCs w:val="20"/>
        </w:rPr>
      </w:pPr>
      <w:bookmarkStart w:id="3" w:name="page3"/>
      <w:bookmarkEnd w:id="3"/>
      <w:r>
        <w:rPr>
          <w:rFonts w:ascii="Arial" w:eastAsia="Arial" w:hAnsi="Arial" w:cs="Arial"/>
          <w:b/>
          <w:bCs/>
        </w:rPr>
        <w:lastRenderedPageBreak/>
        <w:t>SEMINARS ATTENDED</w:t>
      </w:r>
    </w:p>
    <w:p w:rsidR="00D91F82" w:rsidRDefault="006C53E8">
      <w:pPr>
        <w:spacing w:line="285"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0</wp:posOffset>
                </wp:positionH>
                <wp:positionV relativeFrom="paragraph">
                  <wp:posOffset>132080</wp:posOffset>
                </wp:positionV>
                <wp:extent cx="127381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3810"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4pt" to="100.3pt,10.4pt" o:allowincell="f" strokecolor="#000000" strokeweight="0.7199pt"/>
            </w:pict>
          </mc:Fallback>
        </mc:AlternateContent>
      </w:r>
    </w:p>
    <w:p w:rsidR="00D91F82" w:rsidRDefault="006C53E8">
      <w:pPr>
        <w:ind w:left="360"/>
        <w:jc w:val="both"/>
        <w:rPr>
          <w:sz w:val="20"/>
          <w:szCs w:val="20"/>
        </w:rPr>
      </w:pPr>
      <w:r>
        <w:rPr>
          <w:rFonts w:ascii="Arial" w:eastAsia="Arial" w:hAnsi="Arial" w:cs="Arial"/>
          <w:b/>
          <w:bCs/>
        </w:rPr>
        <w:t>“The Annual Management Review”</w:t>
      </w:r>
    </w:p>
    <w:p w:rsidR="00D91F82" w:rsidRDefault="00D91F82">
      <w:pPr>
        <w:spacing w:line="15" w:lineRule="exact"/>
        <w:rPr>
          <w:sz w:val="20"/>
          <w:szCs w:val="20"/>
        </w:rPr>
      </w:pPr>
    </w:p>
    <w:p w:rsidR="00D91F82" w:rsidRDefault="006C53E8">
      <w:pPr>
        <w:spacing w:line="253" w:lineRule="auto"/>
        <w:ind w:left="720" w:right="920"/>
        <w:jc w:val="both"/>
        <w:rPr>
          <w:sz w:val="20"/>
          <w:szCs w:val="20"/>
        </w:rPr>
      </w:pPr>
      <w:r>
        <w:rPr>
          <w:rFonts w:ascii="Arial" w:eastAsia="Arial" w:hAnsi="Arial" w:cs="Arial"/>
          <w:b/>
          <w:bCs/>
        </w:rPr>
        <w:t>An Assessment of the Performance of 2015, and the Strategic Planning for 2016 Pan Pacific Hotel, Malate, Manila</w:t>
      </w:r>
    </w:p>
    <w:p w:rsidR="00D91F82" w:rsidRDefault="00D91F82">
      <w:pPr>
        <w:spacing w:line="1" w:lineRule="exact"/>
        <w:rPr>
          <w:sz w:val="20"/>
          <w:szCs w:val="20"/>
        </w:rPr>
      </w:pPr>
    </w:p>
    <w:p w:rsidR="00D91F82" w:rsidRDefault="006C53E8">
      <w:pPr>
        <w:ind w:left="720"/>
        <w:jc w:val="both"/>
        <w:rPr>
          <w:sz w:val="20"/>
          <w:szCs w:val="20"/>
        </w:rPr>
      </w:pPr>
      <w:r>
        <w:rPr>
          <w:rFonts w:ascii="Arial" w:eastAsia="Arial" w:hAnsi="Arial" w:cs="Arial"/>
          <w:b/>
          <w:bCs/>
        </w:rPr>
        <w:t>December 11, 2015</w:t>
      </w:r>
    </w:p>
    <w:p w:rsidR="00D91F82" w:rsidRDefault="00D91F82">
      <w:pPr>
        <w:spacing w:line="284" w:lineRule="exact"/>
        <w:rPr>
          <w:sz w:val="20"/>
          <w:szCs w:val="20"/>
        </w:rPr>
      </w:pPr>
    </w:p>
    <w:p w:rsidR="00D91F82" w:rsidRDefault="006C53E8">
      <w:pPr>
        <w:ind w:left="360"/>
        <w:jc w:val="both"/>
        <w:rPr>
          <w:sz w:val="20"/>
          <w:szCs w:val="20"/>
        </w:rPr>
      </w:pPr>
      <w:r>
        <w:rPr>
          <w:rFonts w:ascii="Arial" w:eastAsia="Arial" w:hAnsi="Arial" w:cs="Arial"/>
          <w:b/>
          <w:bCs/>
        </w:rPr>
        <w:t>“BMW#3: Basic, Must-Know &amp; Winnable”</w:t>
      </w:r>
    </w:p>
    <w:p w:rsidR="00D91F82" w:rsidRDefault="00D91F82">
      <w:pPr>
        <w:spacing w:line="15" w:lineRule="exact"/>
        <w:rPr>
          <w:sz w:val="20"/>
          <w:szCs w:val="20"/>
        </w:rPr>
      </w:pPr>
    </w:p>
    <w:p w:rsidR="00D91F82" w:rsidRDefault="006C53E8">
      <w:pPr>
        <w:spacing w:line="255" w:lineRule="auto"/>
        <w:ind w:left="720"/>
        <w:jc w:val="both"/>
        <w:rPr>
          <w:sz w:val="20"/>
          <w:szCs w:val="20"/>
        </w:rPr>
      </w:pPr>
      <w:r>
        <w:rPr>
          <w:rFonts w:ascii="Arial" w:eastAsia="Arial" w:hAnsi="Arial" w:cs="Arial"/>
          <w:b/>
          <w:bCs/>
        </w:rPr>
        <w:t>Guide on Overseas Placement &amp; Employment Matters for Licensed Employment Providers H2O Hotel, Quirino Grandstand, Luneta, Manila</w:t>
      </w:r>
    </w:p>
    <w:p w:rsidR="00D91F82" w:rsidRDefault="006C53E8">
      <w:pPr>
        <w:ind w:left="720"/>
        <w:jc w:val="both"/>
        <w:rPr>
          <w:sz w:val="20"/>
          <w:szCs w:val="20"/>
        </w:rPr>
      </w:pPr>
      <w:r>
        <w:rPr>
          <w:rFonts w:ascii="Arial" w:eastAsia="Arial" w:hAnsi="Arial" w:cs="Arial"/>
          <w:b/>
          <w:bCs/>
        </w:rPr>
        <w:t>March 29, 2014</w:t>
      </w:r>
    </w:p>
    <w:p w:rsidR="00D91F82" w:rsidRDefault="00D91F82">
      <w:pPr>
        <w:spacing w:line="284" w:lineRule="exact"/>
        <w:rPr>
          <w:sz w:val="20"/>
          <w:szCs w:val="20"/>
        </w:rPr>
      </w:pPr>
    </w:p>
    <w:p w:rsidR="00D91F82" w:rsidRDefault="006C53E8">
      <w:pPr>
        <w:ind w:left="360"/>
        <w:jc w:val="both"/>
        <w:rPr>
          <w:sz w:val="20"/>
          <w:szCs w:val="20"/>
        </w:rPr>
      </w:pPr>
      <w:r>
        <w:rPr>
          <w:rFonts w:ascii="Arial" w:eastAsia="Arial" w:hAnsi="Arial" w:cs="Arial"/>
          <w:b/>
          <w:bCs/>
        </w:rPr>
        <w:t>“The Annual Management Review”</w:t>
      </w:r>
    </w:p>
    <w:p w:rsidR="00D91F82" w:rsidRDefault="00D91F82">
      <w:pPr>
        <w:spacing w:line="15" w:lineRule="exact"/>
        <w:rPr>
          <w:sz w:val="20"/>
          <w:szCs w:val="20"/>
        </w:rPr>
      </w:pPr>
    </w:p>
    <w:p w:rsidR="00D91F82" w:rsidRDefault="006C53E8">
      <w:pPr>
        <w:spacing w:line="253" w:lineRule="auto"/>
        <w:ind w:left="720" w:right="1300"/>
        <w:jc w:val="both"/>
        <w:rPr>
          <w:sz w:val="20"/>
          <w:szCs w:val="20"/>
        </w:rPr>
      </w:pPr>
      <w:r>
        <w:rPr>
          <w:rFonts w:ascii="Arial" w:eastAsia="Arial" w:hAnsi="Arial" w:cs="Arial"/>
          <w:b/>
          <w:bCs/>
        </w:rPr>
        <w:t>Assessment of the Performance of 2013, the TOWS Analysis &amp; the Strategic Recommendations for 2014</w:t>
      </w:r>
    </w:p>
    <w:p w:rsidR="00D91F82" w:rsidRDefault="00D91F82">
      <w:pPr>
        <w:spacing w:line="1" w:lineRule="exact"/>
        <w:rPr>
          <w:sz w:val="20"/>
          <w:szCs w:val="20"/>
        </w:rPr>
      </w:pPr>
    </w:p>
    <w:p w:rsidR="00D91F82" w:rsidRDefault="006C53E8">
      <w:pPr>
        <w:spacing w:line="382" w:lineRule="auto"/>
        <w:ind w:left="720" w:right="5080"/>
        <w:jc w:val="both"/>
        <w:rPr>
          <w:sz w:val="20"/>
          <w:szCs w:val="20"/>
        </w:rPr>
      </w:pPr>
      <w:r>
        <w:rPr>
          <w:rFonts w:ascii="Arial" w:eastAsia="Arial" w:hAnsi="Arial" w:cs="Arial"/>
          <w:b/>
          <w:bCs/>
        </w:rPr>
        <w:t>Pan Pacific Hotel, Malate, Manila January 11, 2014</w:t>
      </w:r>
    </w:p>
    <w:p w:rsidR="00D91F82" w:rsidRDefault="00D91F82">
      <w:pPr>
        <w:spacing w:line="1" w:lineRule="exact"/>
        <w:rPr>
          <w:sz w:val="20"/>
          <w:szCs w:val="20"/>
        </w:rPr>
      </w:pPr>
    </w:p>
    <w:p w:rsidR="00D91F82" w:rsidRDefault="006C53E8">
      <w:pPr>
        <w:ind w:left="360"/>
        <w:jc w:val="both"/>
        <w:rPr>
          <w:sz w:val="20"/>
          <w:szCs w:val="20"/>
        </w:rPr>
      </w:pPr>
      <w:r>
        <w:rPr>
          <w:rFonts w:ascii="Arial" w:eastAsia="Arial" w:hAnsi="Arial" w:cs="Arial"/>
          <w:b/>
          <w:bCs/>
        </w:rPr>
        <w:t>“Tax Bootcamp for Tax Practitioners &amp; Tax Agents”</w:t>
      </w:r>
    </w:p>
    <w:p w:rsidR="00D91F82" w:rsidRDefault="00D91F82">
      <w:pPr>
        <w:spacing w:line="15" w:lineRule="exact"/>
        <w:rPr>
          <w:sz w:val="20"/>
          <w:szCs w:val="20"/>
        </w:rPr>
      </w:pPr>
    </w:p>
    <w:p w:rsidR="00D91F82" w:rsidRDefault="006C53E8">
      <w:pPr>
        <w:spacing w:line="255" w:lineRule="auto"/>
        <w:ind w:left="720" w:right="420"/>
        <w:jc w:val="both"/>
        <w:rPr>
          <w:sz w:val="20"/>
          <w:szCs w:val="20"/>
        </w:rPr>
      </w:pPr>
      <w:r>
        <w:rPr>
          <w:rFonts w:ascii="Arial" w:eastAsia="Arial" w:hAnsi="Arial" w:cs="Arial"/>
          <w:b/>
          <w:bCs/>
        </w:rPr>
        <w:t>A Comprehensive Seminar on Income Tax, Value Added Tax, Withholding Tax and Tax Updates</w:t>
      </w:r>
    </w:p>
    <w:p w:rsidR="00D91F82" w:rsidRDefault="006C53E8">
      <w:pPr>
        <w:spacing w:line="382" w:lineRule="auto"/>
        <w:ind w:left="720" w:right="2500"/>
        <w:jc w:val="both"/>
        <w:rPr>
          <w:sz w:val="20"/>
          <w:szCs w:val="20"/>
        </w:rPr>
      </w:pPr>
      <w:r>
        <w:rPr>
          <w:rFonts w:ascii="Arial" w:eastAsia="Arial" w:hAnsi="Arial" w:cs="Arial"/>
          <w:b/>
          <w:bCs/>
        </w:rPr>
        <w:t>Yuchengco Institute for Advanced Studies, RCBC Plaza, Makati June 24, 2013</w:t>
      </w:r>
    </w:p>
    <w:p w:rsidR="00D91F82" w:rsidRDefault="00D91F82">
      <w:pPr>
        <w:spacing w:line="1" w:lineRule="exact"/>
        <w:rPr>
          <w:sz w:val="20"/>
          <w:szCs w:val="20"/>
        </w:rPr>
      </w:pPr>
    </w:p>
    <w:p w:rsidR="00D91F82" w:rsidRDefault="006C53E8">
      <w:pPr>
        <w:ind w:left="360"/>
        <w:jc w:val="both"/>
        <w:rPr>
          <w:sz w:val="20"/>
          <w:szCs w:val="20"/>
        </w:rPr>
      </w:pPr>
      <w:r>
        <w:rPr>
          <w:rFonts w:ascii="Arial" w:eastAsia="Arial" w:hAnsi="Arial" w:cs="Arial"/>
          <w:b/>
          <w:bCs/>
        </w:rPr>
        <w:t>“Quality Documents”</w:t>
      </w:r>
    </w:p>
    <w:p w:rsidR="00D91F82" w:rsidRDefault="00D91F82">
      <w:pPr>
        <w:spacing w:line="13" w:lineRule="exact"/>
        <w:rPr>
          <w:sz w:val="20"/>
          <w:szCs w:val="20"/>
        </w:rPr>
      </w:pPr>
    </w:p>
    <w:p w:rsidR="00D91F82" w:rsidRDefault="006C53E8">
      <w:pPr>
        <w:ind w:left="720"/>
        <w:jc w:val="both"/>
        <w:rPr>
          <w:sz w:val="20"/>
          <w:szCs w:val="20"/>
        </w:rPr>
      </w:pPr>
      <w:r>
        <w:rPr>
          <w:rFonts w:ascii="Arial" w:eastAsia="Arial" w:hAnsi="Arial" w:cs="Arial"/>
          <w:b/>
          <w:bCs/>
        </w:rPr>
        <w:t>Scanning, Photocopying, and Adobe Photoshop</w:t>
      </w:r>
    </w:p>
    <w:p w:rsidR="00D91F82" w:rsidRDefault="00D91F82">
      <w:pPr>
        <w:spacing w:line="15" w:lineRule="exact"/>
        <w:rPr>
          <w:sz w:val="20"/>
          <w:szCs w:val="20"/>
        </w:rPr>
      </w:pPr>
    </w:p>
    <w:p w:rsidR="00D91F82" w:rsidRDefault="006C53E8">
      <w:pPr>
        <w:spacing w:line="382" w:lineRule="auto"/>
        <w:ind w:left="720" w:right="2440"/>
        <w:jc w:val="both"/>
        <w:rPr>
          <w:sz w:val="20"/>
          <w:szCs w:val="20"/>
        </w:rPr>
      </w:pPr>
      <w:r>
        <w:rPr>
          <w:rFonts w:ascii="Arial" w:eastAsia="Arial" w:hAnsi="Arial" w:cs="Arial"/>
          <w:b/>
          <w:bCs/>
        </w:rPr>
        <w:t>Conference Room, YWA Human Resource Corp., Ermita Manila February 25, 2013</w:t>
      </w:r>
    </w:p>
    <w:p w:rsidR="00D91F82" w:rsidRDefault="00D91F82">
      <w:pPr>
        <w:spacing w:line="1" w:lineRule="exact"/>
        <w:rPr>
          <w:sz w:val="20"/>
          <w:szCs w:val="20"/>
        </w:rPr>
      </w:pPr>
    </w:p>
    <w:p w:rsidR="00D91F82" w:rsidRDefault="006C53E8">
      <w:pPr>
        <w:spacing w:line="255" w:lineRule="auto"/>
        <w:ind w:left="720" w:right="500"/>
        <w:jc w:val="both"/>
        <w:rPr>
          <w:sz w:val="20"/>
          <w:szCs w:val="20"/>
        </w:rPr>
      </w:pPr>
      <w:r>
        <w:rPr>
          <w:rFonts w:ascii="Arial" w:eastAsia="Arial" w:hAnsi="Arial" w:cs="Arial"/>
          <w:b/>
          <w:bCs/>
        </w:rPr>
        <w:t>“Search &amp; Rescue Orientation &amp; Sar Tools, Equipment &amp; Accessories Familiarization” Army Reserve Command, Fort Andres Bonifacio</w:t>
      </w:r>
    </w:p>
    <w:p w:rsidR="00D91F82" w:rsidRDefault="006C53E8">
      <w:pPr>
        <w:ind w:left="720"/>
        <w:jc w:val="both"/>
        <w:rPr>
          <w:sz w:val="20"/>
          <w:szCs w:val="20"/>
        </w:rPr>
      </w:pPr>
      <w:r>
        <w:rPr>
          <w:rFonts w:ascii="Arial" w:eastAsia="Arial" w:hAnsi="Arial" w:cs="Arial"/>
          <w:b/>
          <w:bCs/>
        </w:rPr>
        <w:t>March 26, 2011</w:t>
      </w:r>
    </w:p>
    <w:p w:rsidR="00D91F82" w:rsidRDefault="00D91F82">
      <w:pPr>
        <w:spacing w:line="284" w:lineRule="exact"/>
        <w:rPr>
          <w:sz w:val="20"/>
          <w:szCs w:val="20"/>
        </w:rPr>
      </w:pPr>
    </w:p>
    <w:p w:rsidR="00D91F82" w:rsidRDefault="006C53E8">
      <w:pPr>
        <w:ind w:left="360"/>
        <w:jc w:val="both"/>
        <w:rPr>
          <w:sz w:val="20"/>
          <w:szCs w:val="20"/>
        </w:rPr>
      </w:pPr>
      <w:r>
        <w:rPr>
          <w:rFonts w:ascii="Arial" w:eastAsia="Arial" w:hAnsi="Arial" w:cs="Arial"/>
          <w:b/>
          <w:bCs/>
        </w:rPr>
        <w:t>“ISO Awareness Seminar”</w:t>
      </w:r>
    </w:p>
    <w:p w:rsidR="00D91F82" w:rsidRDefault="00D91F82">
      <w:pPr>
        <w:spacing w:line="15" w:lineRule="exact"/>
        <w:rPr>
          <w:sz w:val="20"/>
          <w:szCs w:val="20"/>
        </w:rPr>
      </w:pPr>
    </w:p>
    <w:p w:rsidR="00D91F82" w:rsidRDefault="006C53E8">
      <w:pPr>
        <w:spacing w:line="227" w:lineRule="auto"/>
        <w:ind w:left="720" w:right="3500"/>
        <w:jc w:val="both"/>
        <w:rPr>
          <w:sz w:val="20"/>
          <w:szCs w:val="20"/>
        </w:rPr>
      </w:pPr>
      <w:r>
        <w:rPr>
          <w:rFonts w:ascii="Arial" w:eastAsia="Arial" w:hAnsi="Arial" w:cs="Arial"/>
          <w:b/>
          <w:bCs/>
        </w:rPr>
        <w:t>3</w:t>
      </w:r>
      <w:r>
        <w:rPr>
          <w:rFonts w:ascii="Arial" w:eastAsia="Arial" w:hAnsi="Arial" w:cs="Arial"/>
          <w:b/>
          <w:bCs/>
          <w:sz w:val="27"/>
          <w:szCs w:val="27"/>
          <w:vertAlign w:val="superscript"/>
        </w:rPr>
        <w:t>rd</w:t>
      </w:r>
      <w:r>
        <w:rPr>
          <w:rFonts w:ascii="Arial" w:eastAsia="Arial" w:hAnsi="Arial" w:cs="Arial"/>
          <w:b/>
          <w:bCs/>
        </w:rPr>
        <w:t xml:space="preserve"> flr, YWA Human Resource Corp., Ermita, Manila May 22, 2010</w:t>
      </w:r>
    </w:p>
    <w:p w:rsidR="00D91F82" w:rsidRDefault="00D91F82">
      <w:pPr>
        <w:spacing w:line="2" w:lineRule="exact"/>
        <w:rPr>
          <w:sz w:val="20"/>
          <w:szCs w:val="20"/>
        </w:rPr>
      </w:pPr>
    </w:p>
    <w:p w:rsidR="00D91F82" w:rsidRDefault="006C53E8">
      <w:pPr>
        <w:ind w:left="360"/>
        <w:jc w:val="both"/>
        <w:rPr>
          <w:sz w:val="20"/>
          <w:szCs w:val="20"/>
        </w:rPr>
      </w:pPr>
      <w:r>
        <w:rPr>
          <w:rFonts w:ascii="Arial" w:eastAsia="Arial" w:hAnsi="Arial" w:cs="Arial"/>
          <w:b/>
          <w:bCs/>
        </w:rPr>
        <w:t>“Fire, Health, and Safety Training”</w:t>
      </w:r>
    </w:p>
    <w:p w:rsidR="00D91F82" w:rsidRDefault="00D91F82">
      <w:pPr>
        <w:spacing w:line="15" w:lineRule="exact"/>
        <w:rPr>
          <w:sz w:val="20"/>
          <w:szCs w:val="20"/>
        </w:rPr>
      </w:pPr>
    </w:p>
    <w:p w:rsidR="00D91F82" w:rsidRDefault="006C53E8">
      <w:pPr>
        <w:spacing w:line="382" w:lineRule="auto"/>
        <w:ind w:left="720" w:right="2440"/>
        <w:jc w:val="both"/>
        <w:rPr>
          <w:sz w:val="20"/>
          <w:szCs w:val="20"/>
        </w:rPr>
      </w:pPr>
      <w:r>
        <w:rPr>
          <w:rFonts w:ascii="Arial" w:eastAsia="Arial" w:hAnsi="Arial" w:cs="Arial"/>
          <w:b/>
          <w:bCs/>
        </w:rPr>
        <w:t>Conference Room, YWA Human Resource Corp., Ermita Manila March 17, 2010</w:t>
      </w:r>
    </w:p>
    <w:p w:rsidR="00D91F82" w:rsidRDefault="00D91F82">
      <w:pPr>
        <w:spacing w:line="1" w:lineRule="exact"/>
        <w:rPr>
          <w:sz w:val="20"/>
          <w:szCs w:val="20"/>
        </w:rPr>
      </w:pPr>
    </w:p>
    <w:p w:rsidR="00D91F82" w:rsidRDefault="006C53E8">
      <w:pPr>
        <w:spacing w:line="340" w:lineRule="auto"/>
        <w:ind w:left="720" w:right="2440"/>
        <w:rPr>
          <w:sz w:val="20"/>
          <w:szCs w:val="20"/>
        </w:rPr>
      </w:pPr>
      <w:r>
        <w:rPr>
          <w:rFonts w:ascii="Arial" w:eastAsia="Arial" w:hAnsi="Arial" w:cs="Arial"/>
          <w:b/>
          <w:bCs/>
        </w:rPr>
        <w:t>“The Handbook (Employees Manual) Training Orientation” Conference Room, YWA Human Resource Corp., Ermita Manila January 20-29, 2010</w:t>
      </w:r>
    </w:p>
    <w:p w:rsidR="00D91F82" w:rsidRDefault="006C53E8">
      <w:pPr>
        <w:ind w:left="360"/>
        <w:jc w:val="both"/>
        <w:rPr>
          <w:sz w:val="20"/>
          <w:szCs w:val="20"/>
        </w:rPr>
      </w:pPr>
      <w:r>
        <w:rPr>
          <w:rFonts w:ascii="Arial" w:eastAsia="Arial" w:hAnsi="Arial" w:cs="Arial"/>
          <w:b/>
          <w:bCs/>
        </w:rPr>
        <w:t>“Recruitment as a Business”</w:t>
      </w:r>
    </w:p>
    <w:p w:rsidR="00D91F82" w:rsidRDefault="00D91F82">
      <w:pPr>
        <w:spacing w:line="13" w:lineRule="exact"/>
        <w:rPr>
          <w:sz w:val="20"/>
          <w:szCs w:val="20"/>
        </w:rPr>
      </w:pPr>
    </w:p>
    <w:p w:rsidR="00D91F82" w:rsidRDefault="006C53E8">
      <w:pPr>
        <w:spacing w:line="537" w:lineRule="auto"/>
        <w:ind w:left="720" w:right="2440"/>
        <w:jc w:val="both"/>
        <w:rPr>
          <w:sz w:val="20"/>
          <w:szCs w:val="20"/>
        </w:rPr>
      </w:pPr>
      <w:r>
        <w:rPr>
          <w:rFonts w:ascii="Arial" w:eastAsia="Arial" w:hAnsi="Arial" w:cs="Arial"/>
          <w:b/>
          <w:bCs/>
        </w:rPr>
        <w:t>Conference Room, YWA Human Resource Corp., Ermita Manila January 20-29, 2010</w:t>
      </w:r>
    </w:p>
    <w:p w:rsidR="00D91F82" w:rsidRDefault="00D91F82">
      <w:pPr>
        <w:sectPr w:rsidR="00D91F82">
          <w:pgSz w:w="11900" w:h="16838"/>
          <w:pgMar w:top="1215" w:right="1700" w:bottom="1440" w:left="1440" w:header="0" w:footer="0" w:gutter="0"/>
          <w:cols w:space="720" w:equalWidth="0">
            <w:col w:w="8760"/>
          </w:cols>
        </w:sectPr>
      </w:pPr>
    </w:p>
    <w:tbl>
      <w:tblPr>
        <w:tblW w:w="0" w:type="auto"/>
        <w:tblLayout w:type="fixed"/>
        <w:tblCellMar>
          <w:left w:w="0" w:type="dxa"/>
          <w:right w:w="0" w:type="dxa"/>
        </w:tblCellMar>
        <w:tblLook w:val="04A0" w:firstRow="1" w:lastRow="0" w:firstColumn="1" w:lastColumn="0" w:noHBand="0" w:noVBand="1"/>
      </w:tblPr>
      <w:tblGrid>
        <w:gridCol w:w="1380"/>
        <w:gridCol w:w="540"/>
        <w:gridCol w:w="460"/>
        <w:gridCol w:w="1960"/>
        <w:gridCol w:w="1800"/>
        <w:gridCol w:w="1880"/>
      </w:tblGrid>
      <w:tr w:rsidR="00D91F82">
        <w:trPr>
          <w:trHeight w:val="538"/>
        </w:trPr>
        <w:tc>
          <w:tcPr>
            <w:tcW w:w="1380" w:type="dxa"/>
            <w:vAlign w:val="bottom"/>
          </w:tcPr>
          <w:p w:rsidR="00D91F82" w:rsidRDefault="006C53E8">
            <w:pPr>
              <w:rPr>
                <w:sz w:val="20"/>
                <w:szCs w:val="20"/>
              </w:rPr>
            </w:pPr>
            <w:bookmarkStart w:id="4" w:name="page4"/>
            <w:bookmarkEnd w:id="4"/>
            <w:r>
              <w:rPr>
                <w:rFonts w:ascii="Arial" w:eastAsia="Arial" w:hAnsi="Arial" w:cs="Arial"/>
                <w:b/>
                <w:bCs/>
                <w:u w:val="single"/>
              </w:rPr>
              <w:lastRenderedPageBreak/>
              <w:t>EDUCATION</w:t>
            </w:r>
          </w:p>
        </w:tc>
        <w:tc>
          <w:tcPr>
            <w:tcW w:w="540" w:type="dxa"/>
            <w:vAlign w:val="bottom"/>
          </w:tcPr>
          <w:p w:rsidR="00D91F82" w:rsidRDefault="00D91F82">
            <w:pPr>
              <w:rPr>
                <w:sz w:val="24"/>
                <w:szCs w:val="24"/>
              </w:rPr>
            </w:pPr>
          </w:p>
        </w:tc>
        <w:tc>
          <w:tcPr>
            <w:tcW w:w="460" w:type="dxa"/>
            <w:vAlign w:val="bottom"/>
          </w:tcPr>
          <w:p w:rsidR="00D91F82" w:rsidRDefault="00D91F82">
            <w:pPr>
              <w:rPr>
                <w:sz w:val="24"/>
                <w:szCs w:val="24"/>
              </w:rPr>
            </w:pPr>
          </w:p>
        </w:tc>
        <w:tc>
          <w:tcPr>
            <w:tcW w:w="1960" w:type="dxa"/>
            <w:vAlign w:val="bottom"/>
          </w:tcPr>
          <w:p w:rsidR="00D91F82" w:rsidRDefault="00D91F82">
            <w:pPr>
              <w:rPr>
                <w:sz w:val="24"/>
                <w:szCs w:val="24"/>
              </w:rPr>
            </w:pPr>
          </w:p>
        </w:tc>
        <w:tc>
          <w:tcPr>
            <w:tcW w:w="1800" w:type="dxa"/>
            <w:vAlign w:val="bottom"/>
          </w:tcPr>
          <w:p w:rsidR="00D91F82" w:rsidRDefault="00D91F82">
            <w:pPr>
              <w:rPr>
                <w:sz w:val="24"/>
                <w:szCs w:val="24"/>
              </w:rPr>
            </w:pPr>
          </w:p>
        </w:tc>
        <w:tc>
          <w:tcPr>
            <w:tcW w:w="1880" w:type="dxa"/>
            <w:vAlign w:val="bottom"/>
          </w:tcPr>
          <w:p w:rsidR="00D91F82" w:rsidRDefault="00D91F82">
            <w:pPr>
              <w:rPr>
                <w:sz w:val="24"/>
                <w:szCs w:val="24"/>
              </w:rPr>
            </w:pPr>
          </w:p>
        </w:tc>
      </w:tr>
      <w:tr w:rsidR="00D91F82">
        <w:trPr>
          <w:trHeight w:val="431"/>
        </w:trPr>
        <w:tc>
          <w:tcPr>
            <w:tcW w:w="1920" w:type="dxa"/>
            <w:gridSpan w:val="2"/>
            <w:vAlign w:val="bottom"/>
          </w:tcPr>
          <w:p w:rsidR="00D91F82" w:rsidRDefault="006C53E8">
            <w:pPr>
              <w:ind w:left="370"/>
              <w:jc w:val="center"/>
              <w:rPr>
                <w:sz w:val="20"/>
                <w:szCs w:val="20"/>
              </w:rPr>
            </w:pPr>
            <w:r>
              <w:rPr>
                <w:rFonts w:ascii="Arial" w:eastAsia="Arial" w:hAnsi="Arial" w:cs="Arial"/>
                <w:b/>
                <w:bCs/>
                <w:w w:val="91"/>
              </w:rPr>
              <w:t>1992-1998</w:t>
            </w:r>
          </w:p>
        </w:tc>
        <w:tc>
          <w:tcPr>
            <w:tcW w:w="2420" w:type="dxa"/>
            <w:gridSpan w:val="2"/>
            <w:vAlign w:val="bottom"/>
          </w:tcPr>
          <w:p w:rsidR="00D91F82" w:rsidRDefault="006C53E8">
            <w:pPr>
              <w:ind w:left="240"/>
              <w:rPr>
                <w:sz w:val="20"/>
                <w:szCs w:val="20"/>
              </w:rPr>
            </w:pPr>
            <w:r>
              <w:rPr>
                <w:rFonts w:ascii="Arial" w:eastAsia="Arial" w:hAnsi="Arial" w:cs="Arial"/>
                <w:b/>
                <w:bCs/>
              </w:rPr>
              <w:t>Saint Claire School</w:t>
            </w:r>
          </w:p>
        </w:tc>
        <w:tc>
          <w:tcPr>
            <w:tcW w:w="1800" w:type="dxa"/>
            <w:vAlign w:val="bottom"/>
          </w:tcPr>
          <w:p w:rsidR="00D91F82" w:rsidRDefault="00D91F82">
            <w:pPr>
              <w:rPr>
                <w:sz w:val="24"/>
                <w:szCs w:val="24"/>
              </w:rPr>
            </w:pPr>
          </w:p>
        </w:tc>
        <w:tc>
          <w:tcPr>
            <w:tcW w:w="1880" w:type="dxa"/>
            <w:vAlign w:val="bottom"/>
          </w:tcPr>
          <w:p w:rsidR="00D91F82" w:rsidRDefault="00D91F82">
            <w:pPr>
              <w:rPr>
                <w:sz w:val="24"/>
                <w:szCs w:val="24"/>
              </w:rPr>
            </w:pPr>
          </w:p>
        </w:tc>
      </w:tr>
      <w:tr w:rsidR="00D91F82">
        <w:trPr>
          <w:trHeight w:val="373"/>
        </w:trPr>
        <w:tc>
          <w:tcPr>
            <w:tcW w:w="1380" w:type="dxa"/>
            <w:vAlign w:val="bottom"/>
          </w:tcPr>
          <w:p w:rsidR="00D91F82" w:rsidRDefault="00D91F82">
            <w:pPr>
              <w:rPr>
                <w:sz w:val="24"/>
                <w:szCs w:val="24"/>
              </w:rPr>
            </w:pPr>
          </w:p>
        </w:tc>
        <w:tc>
          <w:tcPr>
            <w:tcW w:w="4760" w:type="dxa"/>
            <w:gridSpan w:val="4"/>
            <w:vAlign w:val="bottom"/>
          </w:tcPr>
          <w:p w:rsidR="00D91F82" w:rsidRDefault="006C53E8">
            <w:pPr>
              <w:ind w:left="100"/>
              <w:rPr>
                <w:sz w:val="20"/>
                <w:szCs w:val="20"/>
              </w:rPr>
            </w:pPr>
            <w:r>
              <w:rPr>
                <w:rFonts w:ascii="Arial" w:eastAsia="Arial" w:hAnsi="Arial" w:cs="Arial"/>
                <w:b/>
                <w:bCs/>
                <w:w w:val="89"/>
              </w:rPr>
              <w:t>Primary and Intermediate Education (March 1998)</w:t>
            </w:r>
          </w:p>
        </w:tc>
        <w:tc>
          <w:tcPr>
            <w:tcW w:w="1880" w:type="dxa"/>
            <w:vAlign w:val="bottom"/>
          </w:tcPr>
          <w:p w:rsidR="00D91F82" w:rsidRDefault="00D91F82">
            <w:pPr>
              <w:rPr>
                <w:sz w:val="24"/>
                <w:szCs w:val="24"/>
              </w:rPr>
            </w:pPr>
          </w:p>
        </w:tc>
      </w:tr>
      <w:tr w:rsidR="00D91F82">
        <w:trPr>
          <w:trHeight w:val="431"/>
        </w:trPr>
        <w:tc>
          <w:tcPr>
            <w:tcW w:w="1920" w:type="dxa"/>
            <w:gridSpan w:val="2"/>
            <w:vAlign w:val="bottom"/>
          </w:tcPr>
          <w:p w:rsidR="00D91F82" w:rsidRDefault="006C53E8">
            <w:pPr>
              <w:ind w:left="370"/>
              <w:jc w:val="center"/>
              <w:rPr>
                <w:sz w:val="20"/>
                <w:szCs w:val="20"/>
              </w:rPr>
            </w:pPr>
            <w:r>
              <w:rPr>
                <w:rFonts w:ascii="Arial" w:eastAsia="Arial" w:hAnsi="Arial" w:cs="Arial"/>
                <w:b/>
                <w:bCs/>
                <w:w w:val="91"/>
              </w:rPr>
              <w:t>1998-2002</w:t>
            </w:r>
          </w:p>
        </w:tc>
        <w:tc>
          <w:tcPr>
            <w:tcW w:w="4220" w:type="dxa"/>
            <w:gridSpan w:val="3"/>
            <w:vAlign w:val="bottom"/>
          </w:tcPr>
          <w:p w:rsidR="00D91F82" w:rsidRDefault="006C53E8">
            <w:pPr>
              <w:ind w:left="240"/>
              <w:rPr>
                <w:sz w:val="20"/>
                <w:szCs w:val="20"/>
              </w:rPr>
            </w:pPr>
            <w:r>
              <w:rPr>
                <w:rFonts w:ascii="Arial" w:eastAsia="Arial" w:hAnsi="Arial" w:cs="Arial"/>
                <w:b/>
                <w:bCs/>
                <w:w w:val="95"/>
              </w:rPr>
              <w:t>Saint Anthony Academy of Quezon City</w:t>
            </w:r>
          </w:p>
        </w:tc>
        <w:tc>
          <w:tcPr>
            <w:tcW w:w="1880" w:type="dxa"/>
            <w:vAlign w:val="bottom"/>
          </w:tcPr>
          <w:p w:rsidR="00D91F82" w:rsidRDefault="00D91F82">
            <w:pPr>
              <w:rPr>
                <w:sz w:val="24"/>
                <w:szCs w:val="24"/>
              </w:rPr>
            </w:pPr>
          </w:p>
        </w:tc>
      </w:tr>
      <w:tr w:rsidR="00D91F82">
        <w:trPr>
          <w:trHeight w:val="376"/>
        </w:trPr>
        <w:tc>
          <w:tcPr>
            <w:tcW w:w="1380" w:type="dxa"/>
            <w:vAlign w:val="bottom"/>
          </w:tcPr>
          <w:p w:rsidR="00D91F82" w:rsidRDefault="00D91F82">
            <w:pPr>
              <w:rPr>
                <w:sz w:val="24"/>
                <w:szCs w:val="24"/>
              </w:rPr>
            </w:pPr>
          </w:p>
        </w:tc>
        <w:tc>
          <w:tcPr>
            <w:tcW w:w="6640" w:type="dxa"/>
            <w:gridSpan w:val="5"/>
            <w:vAlign w:val="bottom"/>
          </w:tcPr>
          <w:p w:rsidR="00D91F82" w:rsidRDefault="006C53E8">
            <w:pPr>
              <w:ind w:left="100"/>
              <w:rPr>
                <w:sz w:val="20"/>
                <w:szCs w:val="20"/>
              </w:rPr>
            </w:pPr>
            <w:r>
              <w:rPr>
                <w:rFonts w:ascii="Arial" w:eastAsia="Arial" w:hAnsi="Arial" w:cs="Arial"/>
                <w:b/>
                <w:bCs/>
              </w:rPr>
              <w:t>Secondary Education – 2</w:t>
            </w:r>
            <w:r>
              <w:rPr>
                <w:rFonts w:ascii="Arial" w:eastAsia="Arial" w:hAnsi="Arial" w:cs="Arial"/>
                <w:b/>
                <w:bCs/>
                <w:sz w:val="27"/>
                <w:szCs w:val="27"/>
                <w:vertAlign w:val="superscript"/>
              </w:rPr>
              <w:t>nd</w:t>
            </w:r>
            <w:r>
              <w:rPr>
                <w:rFonts w:ascii="Arial" w:eastAsia="Arial" w:hAnsi="Arial" w:cs="Arial"/>
                <w:b/>
                <w:bCs/>
              </w:rPr>
              <w:t xml:space="preserve"> Honorable Mention (March 2002)</w:t>
            </w:r>
          </w:p>
        </w:tc>
      </w:tr>
      <w:tr w:rsidR="00D91F82">
        <w:trPr>
          <w:trHeight w:val="431"/>
        </w:trPr>
        <w:tc>
          <w:tcPr>
            <w:tcW w:w="1920" w:type="dxa"/>
            <w:gridSpan w:val="2"/>
            <w:vAlign w:val="bottom"/>
          </w:tcPr>
          <w:p w:rsidR="00D91F82" w:rsidRDefault="006C53E8">
            <w:pPr>
              <w:ind w:left="370"/>
              <w:jc w:val="center"/>
              <w:rPr>
                <w:sz w:val="20"/>
                <w:szCs w:val="20"/>
              </w:rPr>
            </w:pPr>
            <w:r>
              <w:rPr>
                <w:rFonts w:ascii="Arial" w:eastAsia="Arial" w:hAnsi="Arial" w:cs="Arial"/>
                <w:b/>
                <w:bCs/>
                <w:w w:val="91"/>
              </w:rPr>
              <w:t>2002-2007</w:t>
            </w:r>
          </w:p>
        </w:tc>
        <w:tc>
          <w:tcPr>
            <w:tcW w:w="6100" w:type="dxa"/>
            <w:gridSpan w:val="4"/>
            <w:vAlign w:val="bottom"/>
          </w:tcPr>
          <w:p w:rsidR="00D91F82" w:rsidRDefault="006C53E8">
            <w:pPr>
              <w:ind w:left="240"/>
              <w:rPr>
                <w:sz w:val="20"/>
                <w:szCs w:val="20"/>
              </w:rPr>
            </w:pPr>
            <w:r>
              <w:rPr>
                <w:rFonts w:ascii="Arial" w:eastAsia="Arial" w:hAnsi="Arial" w:cs="Arial"/>
                <w:b/>
                <w:bCs/>
                <w:w w:val="92"/>
              </w:rPr>
              <w:t>Philippine School of Business Administration – Quezon City</w:t>
            </w:r>
          </w:p>
        </w:tc>
      </w:tr>
      <w:tr w:rsidR="00D91F82">
        <w:trPr>
          <w:trHeight w:val="269"/>
        </w:trPr>
        <w:tc>
          <w:tcPr>
            <w:tcW w:w="1380" w:type="dxa"/>
            <w:vAlign w:val="bottom"/>
          </w:tcPr>
          <w:p w:rsidR="00D91F82" w:rsidRDefault="00D91F82">
            <w:pPr>
              <w:rPr>
                <w:sz w:val="23"/>
                <w:szCs w:val="23"/>
              </w:rPr>
            </w:pPr>
          </w:p>
        </w:tc>
        <w:tc>
          <w:tcPr>
            <w:tcW w:w="4760" w:type="dxa"/>
            <w:gridSpan w:val="4"/>
            <w:vAlign w:val="bottom"/>
          </w:tcPr>
          <w:p w:rsidR="00D91F82" w:rsidRDefault="006C53E8">
            <w:pPr>
              <w:ind w:left="100"/>
              <w:rPr>
                <w:sz w:val="20"/>
                <w:szCs w:val="20"/>
              </w:rPr>
            </w:pPr>
            <w:r>
              <w:rPr>
                <w:rFonts w:ascii="Arial" w:eastAsia="Arial" w:hAnsi="Arial" w:cs="Arial"/>
                <w:b/>
                <w:bCs/>
                <w:w w:val="89"/>
              </w:rPr>
              <w:t>Bachelor of Science in Accountancy (March 2007)</w:t>
            </w:r>
          </w:p>
        </w:tc>
        <w:tc>
          <w:tcPr>
            <w:tcW w:w="1880" w:type="dxa"/>
            <w:vAlign w:val="bottom"/>
          </w:tcPr>
          <w:p w:rsidR="00D91F82" w:rsidRDefault="00D91F82">
            <w:pPr>
              <w:rPr>
                <w:sz w:val="23"/>
                <w:szCs w:val="23"/>
              </w:rPr>
            </w:pPr>
          </w:p>
        </w:tc>
      </w:tr>
      <w:tr w:rsidR="00D91F82">
        <w:trPr>
          <w:trHeight w:val="376"/>
        </w:trPr>
        <w:tc>
          <w:tcPr>
            <w:tcW w:w="1380" w:type="dxa"/>
            <w:vAlign w:val="bottom"/>
          </w:tcPr>
          <w:p w:rsidR="00D91F82" w:rsidRDefault="00D91F82">
            <w:pPr>
              <w:rPr>
                <w:sz w:val="24"/>
                <w:szCs w:val="24"/>
              </w:rPr>
            </w:pPr>
          </w:p>
        </w:tc>
        <w:tc>
          <w:tcPr>
            <w:tcW w:w="6640" w:type="dxa"/>
            <w:gridSpan w:val="5"/>
            <w:vAlign w:val="bottom"/>
          </w:tcPr>
          <w:p w:rsidR="00D91F82" w:rsidRDefault="006C53E8">
            <w:pPr>
              <w:ind w:left="100"/>
              <w:rPr>
                <w:sz w:val="20"/>
                <w:szCs w:val="20"/>
              </w:rPr>
            </w:pPr>
            <w:r>
              <w:rPr>
                <w:rFonts w:ascii="Arial" w:eastAsia="Arial" w:hAnsi="Arial" w:cs="Arial"/>
                <w:b/>
                <w:bCs/>
                <w:w w:val="84"/>
              </w:rPr>
              <w:t>Bachelor of Science in Business Administration – Marketing (March 2007)</w:t>
            </w:r>
          </w:p>
        </w:tc>
      </w:tr>
      <w:tr w:rsidR="00D91F82">
        <w:trPr>
          <w:trHeight w:val="455"/>
        </w:trPr>
        <w:tc>
          <w:tcPr>
            <w:tcW w:w="4340" w:type="dxa"/>
            <w:gridSpan w:val="4"/>
            <w:vAlign w:val="bottom"/>
          </w:tcPr>
          <w:p w:rsidR="00D91F82" w:rsidRDefault="006C53E8">
            <w:pPr>
              <w:rPr>
                <w:sz w:val="20"/>
                <w:szCs w:val="20"/>
              </w:rPr>
            </w:pPr>
            <w:r>
              <w:rPr>
                <w:rFonts w:ascii="Arial" w:eastAsia="Arial" w:hAnsi="Arial" w:cs="Arial"/>
                <w:b/>
                <w:bCs/>
              </w:rPr>
              <w:t>PERSONAL INFORMATION</w:t>
            </w:r>
          </w:p>
        </w:tc>
        <w:tc>
          <w:tcPr>
            <w:tcW w:w="1800" w:type="dxa"/>
            <w:vAlign w:val="bottom"/>
          </w:tcPr>
          <w:p w:rsidR="00D91F82" w:rsidRDefault="00D91F82">
            <w:pPr>
              <w:rPr>
                <w:sz w:val="24"/>
                <w:szCs w:val="24"/>
              </w:rPr>
            </w:pPr>
          </w:p>
        </w:tc>
        <w:tc>
          <w:tcPr>
            <w:tcW w:w="1880" w:type="dxa"/>
            <w:vAlign w:val="bottom"/>
          </w:tcPr>
          <w:p w:rsidR="00D91F82" w:rsidRDefault="00D91F82">
            <w:pPr>
              <w:rPr>
                <w:sz w:val="24"/>
                <w:szCs w:val="24"/>
              </w:rPr>
            </w:pPr>
          </w:p>
        </w:tc>
      </w:tr>
      <w:tr w:rsidR="00D91F82">
        <w:trPr>
          <w:trHeight w:val="20"/>
        </w:trPr>
        <w:tc>
          <w:tcPr>
            <w:tcW w:w="1380" w:type="dxa"/>
            <w:shd w:val="clear" w:color="auto" w:fill="000000"/>
            <w:vAlign w:val="bottom"/>
          </w:tcPr>
          <w:p w:rsidR="00D91F82" w:rsidRDefault="00D91F82">
            <w:pPr>
              <w:spacing w:line="20" w:lineRule="exact"/>
              <w:rPr>
                <w:sz w:val="1"/>
                <w:szCs w:val="1"/>
              </w:rPr>
            </w:pPr>
          </w:p>
        </w:tc>
        <w:tc>
          <w:tcPr>
            <w:tcW w:w="1000" w:type="dxa"/>
            <w:gridSpan w:val="2"/>
            <w:shd w:val="clear" w:color="auto" w:fill="000000"/>
            <w:vAlign w:val="bottom"/>
          </w:tcPr>
          <w:p w:rsidR="00D91F82" w:rsidRDefault="00D91F82">
            <w:pPr>
              <w:spacing w:line="20" w:lineRule="exact"/>
              <w:rPr>
                <w:sz w:val="1"/>
                <w:szCs w:val="1"/>
              </w:rPr>
            </w:pPr>
          </w:p>
        </w:tc>
        <w:tc>
          <w:tcPr>
            <w:tcW w:w="1960" w:type="dxa"/>
            <w:vAlign w:val="bottom"/>
          </w:tcPr>
          <w:p w:rsidR="00D91F82" w:rsidRDefault="00D91F82">
            <w:pPr>
              <w:spacing w:line="20" w:lineRule="exact"/>
              <w:rPr>
                <w:sz w:val="1"/>
                <w:szCs w:val="1"/>
              </w:rPr>
            </w:pPr>
          </w:p>
        </w:tc>
        <w:tc>
          <w:tcPr>
            <w:tcW w:w="1800" w:type="dxa"/>
            <w:vAlign w:val="bottom"/>
          </w:tcPr>
          <w:p w:rsidR="00D91F82" w:rsidRDefault="00D91F82">
            <w:pPr>
              <w:spacing w:line="20" w:lineRule="exact"/>
              <w:rPr>
                <w:sz w:val="1"/>
                <w:szCs w:val="1"/>
              </w:rPr>
            </w:pPr>
          </w:p>
        </w:tc>
        <w:tc>
          <w:tcPr>
            <w:tcW w:w="1880" w:type="dxa"/>
            <w:vAlign w:val="bottom"/>
          </w:tcPr>
          <w:p w:rsidR="00D91F82" w:rsidRDefault="00D91F82">
            <w:pPr>
              <w:spacing w:line="20" w:lineRule="exact"/>
              <w:rPr>
                <w:sz w:val="1"/>
                <w:szCs w:val="1"/>
              </w:rPr>
            </w:pPr>
          </w:p>
        </w:tc>
      </w:tr>
      <w:tr w:rsidR="00D91F82">
        <w:trPr>
          <w:trHeight w:val="494"/>
        </w:trPr>
        <w:tc>
          <w:tcPr>
            <w:tcW w:w="1380" w:type="dxa"/>
            <w:vAlign w:val="bottom"/>
          </w:tcPr>
          <w:p w:rsidR="00D91F82" w:rsidRDefault="006C53E8">
            <w:pPr>
              <w:rPr>
                <w:sz w:val="20"/>
                <w:szCs w:val="20"/>
              </w:rPr>
            </w:pPr>
            <w:r>
              <w:rPr>
                <w:rFonts w:ascii="Arial" w:eastAsia="Arial" w:hAnsi="Arial" w:cs="Arial"/>
                <w:b/>
                <w:bCs/>
              </w:rPr>
              <w:t>Birthday:</w:t>
            </w:r>
          </w:p>
        </w:tc>
        <w:tc>
          <w:tcPr>
            <w:tcW w:w="2960" w:type="dxa"/>
            <w:gridSpan w:val="3"/>
            <w:vAlign w:val="bottom"/>
          </w:tcPr>
          <w:p w:rsidR="00D91F82" w:rsidRDefault="006C53E8">
            <w:pPr>
              <w:ind w:left="60"/>
              <w:rPr>
                <w:sz w:val="20"/>
                <w:szCs w:val="20"/>
              </w:rPr>
            </w:pPr>
            <w:r>
              <w:rPr>
                <w:rFonts w:ascii="Arial" w:eastAsia="Arial" w:hAnsi="Arial" w:cs="Arial"/>
                <w:b/>
                <w:bCs/>
              </w:rPr>
              <w:t>November 25, 1985</w:t>
            </w:r>
          </w:p>
        </w:tc>
        <w:tc>
          <w:tcPr>
            <w:tcW w:w="1800" w:type="dxa"/>
            <w:vAlign w:val="bottom"/>
          </w:tcPr>
          <w:p w:rsidR="00D91F82" w:rsidRDefault="006C53E8">
            <w:pPr>
              <w:ind w:left="540"/>
              <w:rPr>
                <w:sz w:val="20"/>
                <w:szCs w:val="20"/>
              </w:rPr>
            </w:pPr>
            <w:r>
              <w:rPr>
                <w:rFonts w:ascii="Arial" w:eastAsia="Arial" w:hAnsi="Arial" w:cs="Arial"/>
                <w:b/>
                <w:bCs/>
              </w:rPr>
              <w:t>Age:</w:t>
            </w:r>
          </w:p>
        </w:tc>
        <w:tc>
          <w:tcPr>
            <w:tcW w:w="1880" w:type="dxa"/>
            <w:vAlign w:val="bottom"/>
          </w:tcPr>
          <w:p w:rsidR="00D91F82" w:rsidRDefault="006C53E8">
            <w:pPr>
              <w:ind w:left="180"/>
              <w:rPr>
                <w:sz w:val="20"/>
                <w:szCs w:val="20"/>
              </w:rPr>
            </w:pPr>
            <w:r>
              <w:rPr>
                <w:rFonts w:ascii="Arial" w:eastAsia="Arial" w:hAnsi="Arial" w:cs="Arial"/>
                <w:b/>
                <w:bCs/>
              </w:rPr>
              <w:t>31 y/o</w:t>
            </w:r>
          </w:p>
        </w:tc>
      </w:tr>
      <w:tr w:rsidR="00D91F82">
        <w:trPr>
          <w:trHeight w:val="266"/>
        </w:trPr>
        <w:tc>
          <w:tcPr>
            <w:tcW w:w="1380" w:type="dxa"/>
            <w:vAlign w:val="bottom"/>
          </w:tcPr>
          <w:p w:rsidR="00D91F82" w:rsidRDefault="006C53E8">
            <w:pPr>
              <w:rPr>
                <w:sz w:val="20"/>
                <w:szCs w:val="20"/>
              </w:rPr>
            </w:pPr>
            <w:r>
              <w:rPr>
                <w:rFonts w:ascii="Arial" w:eastAsia="Arial" w:hAnsi="Arial" w:cs="Arial"/>
                <w:b/>
                <w:bCs/>
              </w:rPr>
              <w:t>Height:</w:t>
            </w:r>
          </w:p>
        </w:tc>
        <w:tc>
          <w:tcPr>
            <w:tcW w:w="2960" w:type="dxa"/>
            <w:gridSpan w:val="3"/>
            <w:vAlign w:val="bottom"/>
          </w:tcPr>
          <w:p w:rsidR="00D91F82" w:rsidRDefault="006C53E8">
            <w:pPr>
              <w:ind w:left="60"/>
              <w:rPr>
                <w:sz w:val="20"/>
                <w:szCs w:val="20"/>
              </w:rPr>
            </w:pPr>
            <w:r>
              <w:rPr>
                <w:rFonts w:ascii="Arial" w:eastAsia="Arial" w:hAnsi="Arial" w:cs="Arial"/>
                <w:b/>
                <w:bCs/>
              </w:rPr>
              <w:t>151 cms</w:t>
            </w:r>
          </w:p>
        </w:tc>
        <w:tc>
          <w:tcPr>
            <w:tcW w:w="1800" w:type="dxa"/>
            <w:vAlign w:val="bottom"/>
          </w:tcPr>
          <w:p w:rsidR="00D91F82" w:rsidRDefault="006C53E8">
            <w:pPr>
              <w:ind w:left="540"/>
              <w:rPr>
                <w:sz w:val="20"/>
                <w:szCs w:val="20"/>
              </w:rPr>
            </w:pPr>
            <w:r>
              <w:rPr>
                <w:rFonts w:ascii="Arial" w:eastAsia="Arial" w:hAnsi="Arial" w:cs="Arial"/>
                <w:b/>
                <w:bCs/>
              </w:rPr>
              <w:t>Weight:</w:t>
            </w:r>
          </w:p>
        </w:tc>
        <w:tc>
          <w:tcPr>
            <w:tcW w:w="1880" w:type="dxa"/>
            <w:vAlign w:val="bottom"/>
          </w:tcPr>
          <w:p w:rsidR="00D91F82" w:rsidRDefault="006C53E8">
            <w:pPr>
              <w:ind w:left="180"/>
              <w:rPr>
                <w:sz w:val="20"/>
                <w:szCs w:val="20"/>
              </w:rPr>
            </w:pPr>
            <w:r>
              <w:rPr>
                <w:rFonts w:ascii="Arial" w:eastAsia="Arial" w:hAnsi="Arial" w:cs="Arial"/>
                <w:b/>
                <w:bCs/>
              </w:rPr>
              <w:t>103 lbs</w:t>
            </w:r>
          </w:p>
        </w:tc>
      </w:tr>
      <w:tr w:rsidR="00D91F82">
        <w:trPr>
          <w:trHeight w:val="376"/>
        </w:trPr>
        <w:tc>
          <w:tcPr>
            <w:tcW w:w="1380" w:type="dxa"/>
            <w:vAlign w:val="bottom"/>
          </w:tcPr>
          <w:p w:rsidR="00D91F82" w:rsidRDefault="006C53E8">
            <w:pPr>
              <w:rPr>
                <w:sz w:val="20"/>
                <w:szCs w:val="20"/>
              </w:rPr>
            </w:pPr>
            <w:r>
              <w:rPr>
                <w:rFonts w:ascii="Arial" w:eastAsia="Arial" w:hAnsi="Arial" w:cs="Arial"/>
                <w:b/>
                <w:bCs/>
              </w:rPr>
              <w:t>Religion:</w:t>
            </w:r>
          </w:p>
        </w:tc>
        <w:tc>
          <w:tcPr>
            <w:tcW w:w="2960" w:type="dxa"/>
            <w:gridSpan w:val="3"/>
            <w:vAlign w:val="bottom"/>
          </w:tcPr>
          <w:p w:rsidR="00D91F82" w:rsidRDefault="006C53E8">
            <w:pPr>
              <w:ind w:left="60"/>
              <w:rPr>
                <w:sz w:val="20"/>
                <w:szCs w:val="20"/>
              </w:rPr>
            </w:pPr>
            <w:r>
              <w:rPr>
                <w:rFonts w:ascii="Arial" w:eastAsia="Arial" w:hAnsi="Arial" w:cs="Arial"/>
                <w:b/>
                <w:bCs/>
              </w:rPr>
              <w:t>Roman Catholic</w:t>
            </w:r>
          </w:p>
        </w:tc>
        <w:tc>
          <w:tcPr>
            <w:tcW w:w="1800" w:type="dxa"/>
            <w:vAlign w:val="bottom"/>
          </w:tcPr>
          <w:p w:rsidR="00D91F82" w:rsidRDefault="00D91F82">
            <w:pPr>
              <w:rPr>
                <w:sz w:val="24"/>
                <w:szCs w:val="24"/>
              </w:rPr>
            </w:pPr>
          </w:p>
        </w:tc>
        <w:tc>
          <w:tcPr>
            <w:tcW w:w="1880" w:type="dxa"/>
            <w:vAlign w:val="bottom"/>
          </w:tcPr>
          <w:p w:rsidR="00D91F82" w:rsidRDefault="00D91F82">
            <w:pPr>
              <w:rPr>
                <w:sz w:val="24"/>
                <w:szCs w:val="24"/>
              </w:rPr>
            </w:pPr>
          </w:p>
        </w:tc>
      </w:tr>
    </w:tbl>
    <w:p w:rsidR="00D91F82" w:rsidRDefault="006C53E8">
      <w:pPr>
        <w:spacing w:line="710" w:lineRule="auto"/>
        <w:ind w:right="6300"/>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0</wp:posOffset>
                </wp:positionH>
                <wp:positionV relativeFrom="paragraph">
                  <wp:posOffset>-313690</wp:posOffset>
                </wp:positionV>
                <wp:extent cx="108648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6485"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4.6999pt" to="85.55pt,-24.6999pt" o:allowincell="f" strokecolor="#000000" strokeweight="0.7199pt"/>
            </w:pict>
          </mc:Fallback>
        </mc:AlternateContent>
      </w:r>
    </w:p>
    <w:sectPr w:rsidR="00D91F82">
      <w:pgSz w:w="11900" w:h="16838"/>
      <w:pgMar w:top="1215" w:right="2440" w:bottom="1440" w:left="1440" w:header="0" w:footer="0" w:gutter="0"/>
      <w:cols w:space="720" w:equalWidth="0">
        <w:col w:w="8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8154DEF2"/>
    <w:lvl w:ilvl="0" w:tplc="A8B24288">
      <w:start w:val="1"/>
      <w:numFmt w:val="bullet"/>
      <w:lvlText w:val=" "/>
      <w:lvlJc w:val="left"/>
    </w:lvl>
    <w:lvl w:ilvl="1" w:tplc="EF820434">
      <w:numFmt w:val="decimal"/>
      <w:lvlText w:val=""/>
      <w:lvlJc w:val="left"/>
    </w:lvl>
    <w:lvl w:ilvl="2" w:tplc="833AC72A">
      <w:numFmt w:val="decimal"/>
      <w:lvlText w:val=""/>
      <w:lvlJc w:val="left"/>
    </w:lvl>
    <w:lvl w:ilvl="3" w:tplc="3C285424">
      <w:numFmt w:val="decimal"/>
      <w:lvlText w:val=""/>
      <w:lvlJc w:val="left"/>
    </w:lvl>
    <w:lvl w:ilvl="4" w:tplc="3B489ABC">
      <w:numFmt w:val="decimal"/>
      <w:lvlText w:val=""/>
      <w:lvlJc w:val="left"/>
    </w:lvl>
    <w:lvl w:ilvl="5" w:tplc="82C8AE38">
      <w:numFmt w:val="decimal"/>
      <w:lvlText w:val=""/>
      <w:lvlJc w:val="left"/>
    </w:lvl>
    <w:lvl w:ilvl="6" w:tplc="18A4A178">
      <w:numFmt w:val="decimal"/>
      <w:lvlText w:val=""/>
      <w:lvlJc w:val="left"/>
    </w:lvl>
    <w:lvl w:ilvl="7" w:tplc="EFE6D2D2">
      <w:numFmt w:val="decimal"/>
      <w:lvlText w:val=""/>
      <w:lvlJc w:val="left"/>
    </w:lvl>
    <w:lvl w:ilvl="8" w:tplc="56F20062">
      <w:numFmt w:val="decimal"/>
      <w:lvlText w:val=""/>
      <w:lvlJc w:val="left"/>
    </w:lvl>
  </w:abstractNum>
  <w:abstractNum w:abstractNumId="1">
    <w:nsid w:val="238E1F29"/>
    <w:multiLevelType w:val="hybridMultilevel"/>
    <w:tmpl w:val="1B6C67D6"/>
    <w:lvl w:ilvl="0" w:tplc="EF06456C">
      <w:start w:val="1"/>
      <w:numFmt w:val="bullet"/>
      <w:lvlText w:val=" "/>
      <w:lvlJc w:val="left"/>
    </w:lvl>
    <w:lvl w:ilvl="1" w:tplc="C96CCDA2">
      <w:numFmt w:val="decimal"/>
      <w:lvlText w:val=""/>
      <w:lvlJc w:val="left"/>
    </w:lvl>
    <w:lvl w:ilvl="2" w:tplc="3C72512C">
      <w:numFmt w:val="decimal"/>
      <w:lvlText w:val=""/>
      <w:lvlJc w:val="left"/>
    </w:lvl>
    <w:lvl w:ilvl="3" w:tplc="80E67FE2">
      <w:numFmt w:val="decimal"/>
      <w:lvlText w:val=""/>
      <w:lvlJc w:val="left"/>
    </w:lvl>
    <w:lvl w:ilvl="4" w:tplc="988CB1A2">
      <w:numFmt w:val="decimal"/>
      <w:lvlText w:val=""/>
      <w:lvlJc w:val="left"/>
    </w:lvl>
    <w:lvl w:ilvl="5" w:tplc="095A12E4">
      <w:numFmt w:val="decimal"/>
      <w:lvlText w:val=""/>
      <w:lvlJc w:val="left"/>
    </w:lvl>
    <w:lvl w:ilvl="6" w:tplc="3B942CC4">
      <w:numFmt w:val="decimal"/>
      <w:lvlText w:val=""/>
      <w:lvlJc w:val="left"/>
    </w:lvl>
    <w:lvl w:ilvl="7" w:tplc="AF4A1C38">
      <w:numFmt w:val="decimal"/>
      <w:lvlText w:val=""/>
      <w:lvlJc w:val="left"/>
    </w:lvl>
    <w:lvl w:ilvl="8" w:tplc="0A8E354E">
      <w:numFmt w:val="decimal"/>
      <w:lvlText w:val=""/>
      <w:lvlJc w:val="left"/>
    </w:lvl>
  </w:abstractNum>
  <w:abstractNum w:abstractNumId="2">
    <w:nsid w:val="2AE8944A"/>
    <w:multiLevelType w:val="hybridMultilevel"/>
    <w:tmpl w:val="0D1A0AC8"/>
    <w:lvl w:ilvl="0" w:tplc="DFFA03B4">
      <w:start w:val="1"/>
      <w:numFmt w:val="bullet"/>
      <w:lvlText w:val=" "/>
      <w:lvlJc w:val="left"/>
    </w:lvl>
    <w:lvl w:ilvl="1" w:tplc="7C345F58">
      <w:numFmt w:val="decimal"/>
      <w:lvlText w:val=""/>
      <w:lvlJc w:val="left"/>
    </w:lvl>
    <w:lvl w:ilvl="2" w:tplc="12B053D0">
      <w:numFmt w:val="decimal"/>
      <w:lvlText w:val=""/>
      <w:lvlJc w:val="left"/>
    </w:lvl>
    <w:lvl w:ilvl="3" w:tplc="AAE2301E">
      <w:numFmt w:val="decimal"/>
      <w:lvlText w:val=""/>
      <w:lvlJc w:val="left"/>
    </w:lvl>
    <w:lvl w:ilvl="4" w:tplc="66A41D30">
      <w:numFmt w:val="decimal"/>
      <w:lvlText w:val=""/>
      <w:lvlJc w:val="left"/>
    </w:lvl>
    <w:lvl w:ilvl="5" w:tplc="45D09A1C">
      <w:numFmt w:val="decimal"/>
      <w:lvlText w:val=""/>
      <w:lvlJc w:val="left"/>
    </w:lvl>
    <w:lvl w:ilvl="6" w:tplc="AF8C0890">
      <w:numFmt w:val="decimal"/>
      <w:lvlText w:val=""/>
      <w:lvlJc w:val="left"/>
    </w:lvl>
    <w:lvl w:ilvl="7" w:tplc="C2326B18">
      <w:numFmt w:val="decimal"/>
      <w:lvlText w:val=""/>
      <w:lvlJc w:val="left"/>
    </w:lvl>
    <w:lvl w:ilvl="8" w:tplc="EFB48B22">
      <w:numFmt w:val="decimal"/>
      <w:lvlText w:val=""/>
      <w:lvlJc w:val="left"/>
    </w:lvl>
  </w:abstractNum>
  <w:abstractNum w:abstractNumId="3">
    <w:nsid w:val="46E87CCD"/>
    <w:multiLevelType w:val="hybridMultilevel"/>
    <w:tmpl w:val="594071FE"/>
    <w:lvl w:ilvl="0" w:tplc="BCDCF25A">
      <w:start w:val="1"/>
      <w:numFmt w:val="bullet"/>
      <w:lvlText w:val=" "/>
      <w:lvlJc w:val="left"/>
    </w:lvl>
    <w:lvl w:ilvl="1" w:tplc="245E92BE">
      <w:numFmt w:val="decimal"/>
      <w:lvlText w:val=""/>
      <w:lvlJc w:val="left"/>
    </w:lvl>
    <w:lvl w:ilvl="2" w:tplc="1B5C0B88">
      <w:numFmt w:val="decimal"/>
      <w:lvlText w:val=""/>
      <w:lvlJc w:val="left"/>
    </w:lvl>
    <w:lvl w:ilvl="3" w:tplc="CC3A6B44">
      <w:numFmt w:val="decimal"/>
      <w:lvlText w:val=""/>
      <w:lvlJc w:val="left"/>
    </w:lvl>
    <w:lvl w:ilvl="4" w:tplc="A20AF950">
      <w:numFmt w:val="decimal"/>
      <w:lvlText w:val=""/>
      <w:lvlJc w:val="left"/>
    </w:lvl>
    <w:lvl w:ilvl="5" w:tplc="2F588A0A">
      <w:numFmt w:val="decimal"/>
      <w:lvlText w:val=""/>
      <w:lvlJc w:val="left"/>
    </w:lvl>
    <w:lvl w:ilvl="6" w:tplc="0E22B342">
      <w:numFmt w:val="decimal"/>
      <w:lvlText w:val=""/>
      <w:lvlJc w:val="left"/>
    </w:lvl>
    <w:lvl w:ilvl="7" w:tplc="6306744A">
      <w:numFmt w:val="decimal"/>
      <w:lvlText w:val=""/>
      <w:lvlJc w:val="left"/>
    </w:lvl>
    <w:lvl w:ilvl="8" w:tplc="CB700264">
      <w:numFmt w:val="decimal"/>
      <w:lvlText w:val=""/>
      <w:lvlJc w:val="left"/>
    </w:lvl>
  </w:abstractNum>
  <w:abstractNum w:abstractNumId="4">
    <w:nsid w:val="625558EC"/>
    <w:multiLevelType w:val="hybridMultilevel"/>
    <w:tmpl w:val="217E668A"/>
    <w:lvl w:ilvl="0" w:tplc="2B524ECE">
      <w:start w:val="1"/>
      <w:numFmt w:val="bullet"/>
      <w:lvlText w:val=" "/>
      <w:lvlJc w:val="left"/>
    </w:lvl>
    <w:lvl w:ilvl="1" w:tplc="B2D40C04">
      <w:numFmt w:val="decimal"/>
      <w:lvlText w:val=""/>
      <w:lvlJc w:val="left"/>
    </w:lvl>
    <w:lvl w:ilvl="2" w:tplc="606C8F4E">
      <w:numFmt w:val="decimal"/>
      <w:lvlText w:val=""/>
      <w:lvlJc w:val="left"/>
    </w:lvl>
    <w:lvl w:ilvl="3" w:tplc="1D9A0B1C">
      <w:numFmt w:val="decimal"/>
      <w:lvlText w:val=""/>
      <w:lvlJc w:val="left"/>
    </w:lvl>
    <w:lvl w:ilvl="4" w:tplc="90E40230">
      <w:numFmt w:val="decimal"/>
      <w:lvlText w:val=""/>
      <w:lvlJc w:val="left"/>
    </w:lvl>
    <w:lvl w:ilvl="5" w:tplc="54001BF2">
      <w:numFmt w:val="decimal"/>
      <w:lvlText w:val=""/>
      <w:lvlJc w:val="left"/>
    </w:lvl>
    <w:lvl w:ilvl="6" w:tplc="58FACFC0">
      <w:numFmt w:val="decimal"/>
      <w:lvlText w:val=""/>
      <w:lvlJc w:val="left"/>
    </w:lvl>
    <w:lvl w:ilvl="7" w:tplc="A22E6BB0">
      <w:numFmt w:val="decimal"/>
      <w:lvlText w:val=""/>
      <w:lvlJc w:val="left"/>
    </w:lvl>
    <w:lvl w:ilvl="8" w:tplc="CA129D82">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82"/>
    <w:rsid w:val="006C53E8"/>
    <w:rsid w:val="00AC1798"/>
    <w:rsid w:val="00D91F82"/>
    <w:rsid w:val="00FA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624"/>
    <w:rPr>
      <w:color w:val="0000FF" w:themeColor="hyperlink"/>
      <w:u w:val="single"/>
    </w:rPr>
  </w:style>
  <w:style w:type="character" w:customStyle="1" w:styleId="apple-converted-space">
    <w:name w:val="apple-converted-space"/>
    <w:basedOn w:val="DefaultParagraphFont"/>
    <w:rsid w:val="00AC1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624"/>
    <w:rPr>
      <w:color w:val="0000FF" w:themeColor="hyperlink"/>
      <w:u w:val="single"/>
    </w:rPr>
  </w:style>
  <w:style w:type="character" w:customStyle="1" w:styleId="apple-converted-space">
    <w:name w:val="apple-converted-space"/>
    <w:basedOn w:val="DefaultParagraphFont"/>
    <w:rsid w:val="00AC1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icor.35320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6</cp:revision>
  <dcterms:created xsi:type="dcterms:W3CDTF">2017-04-13T07:56:00Z</dcterms:created>
  <dcterms:modified xsi:type="dcterms:W3CDTF">2017-05-24T10:24:00Z</dcterms:modified>
</cp:coreProperties>
</file>