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56"/>
          <w:szCs w:val="56"/>
        </w:rPr>
        <w:t>BASEL</w:t>
      </w:r>
    </w:p>
    <w:p w:rsidR="00C56791" w:rsidRDefault="00C56791" w:rsidP="00C56791">
      <w:pPr>
        <w:spacing w:line="239" w:lineRule="auto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hyperlink r:id="rId5" w:history="1">
        <w:r w:rsidRPr="00E577F0">
          <w:rPr>
            <w:rStyle w:val="Hyperlink"/>
            <w:rFonts w:ascii="Calibri" w:eastAsia="Calibri" w:hAnsi="Calibri" w:cs="Calibri"/>
            <w:b/>
            <w:bCs/>
            <w:sz w:val="56"/>
            <w:szCs w:val="56"/>
          </w:rPr>
          <w:t>BASEL.361022@2freemail.com</w:t>
        </w:r>
      </w:hyperlink>
      <w:r>
        <w:rPr>
          <w:rFonts w:ascii="Calibri" w:eastAsia="Calibri" w:hAnsi="Calibri" w:cs="Calibri"/>
          <w:b/>
          <w:bCs/>
          <w:color w:val="0070C0"/>
          <w:sz w:val="56"/>
          <w:szCs w:val="56"/>
        </w:rPr>
        <w:t xml:space="preserve"> </w:t>
      </w:r>
    </w:p>
    <w:p w:rsidR="00F770C1" w:rsidRDefault="00F770C1">
      <w:pPr>
        <w:spacing w:line="14" w:lineRule="exact"/>
        <w:rPr>
          <w:sz w:val="24"/>
          <w:szCs w:val="24"/>
        </w:rPr>
      </w:pPr>
    </w:p>
    <w:p w:rsidR="00F770C1" w:rsidRDefault="00F770C1">
      <w:pPr>
        <w:spacing w:line="263" w:lineRule="exact"/>
        <w:rPr>
          <w:sz w:val="24"/>
          <w:szCs w:val="24"/>
        </w:rPr>
      </w:pPr>
    </w:p>
    <w:p w:rsidR="00F770C1" w:rsidRDefault="00C56791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 xml:space="preserve">Innovative, ambitious and creative, I apply extensive experience and technical skill to the management of Engineering and Design Projects. Delivering to high quality standards and </w:t>
      </w:r>
      <w:r>
        <w:rPr>
          <w:rFonts w:ascii="Calibri" w:eastAsia="Calibri" w:hAnsi="Calibri" w:cs="Calibri"/>
          <w:color w:val="595959"/>
          <w:sz w:val="19"/>
          <w:szCs w:val="19"/>
        </w:rPr>
        <w:t>specifications, I manage complex, demanding project portfolios from inception to brief, design, approval and site build. With a diverse portfolio of large-scale projects, residential compounds, commercial, industrial and facilities design and building incl</w:t>
      </w:r>
      <w:r>
        <w:rPr>
          <w:rFonts w:ascii="Calibri" w:eastAsia="Calibri" w:hAnsi="Calibri" w:cs="Calibri"/>
          <w:color w:val="595959"/>
          <w:sz w:val="19"/>
          <w:szCs w:val="19"/>
        </w:rPr>
        <w:t>uding within restricted release and confidential arenas, I consistently achieve client requirements, exceed expectations and deliver innovative urban design. Confident in leading multidisciplinary teams and sub-consultants, my ambition is to grow and estab</w:t>
      </w:r>
      <w:r>
        <w:rPr>
          <w:rFonts w:ascii="Calibri" w:eastAsia="Calibri" w:hAnsi="Calibri" w:cs="Calibri"/>
          <w:color w:val="595959"/>
          <w:sz w:val="19"/>
          <w:szCs w:val="19"/>
        </w:rPr>
        <w:t>lish my position as a Design Director.</w:t>
      </w:r>
    </w:p>
    <w:p w:rsidR="00F770C1" w:rsidRDefault="00F770C1">
      <w:pPr>
        <w:spacing w:line="248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-.5pt,7.05pt" to="526.85pt,7.05pt" o:allowincell="f" strokecolor="#0070c0"/>
        </w:pict>
      </w:r>
    </w:p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SKILLS</w:t>
      </w:r>
    </w:p>
    <w:p w:rsidR="00F770C1" w:rsidRDefault="00F770C1">
      <w:pPr>
        <w:spacing w:line="142" w:lineRule="exact"/>
        <w:rPr>
          <w:sz w:val="24"/>
          <w:szCs w:val="24"/>
        </w:rPr>
      </w:pPr>
    </w:p>
    <w:p w:rsidR="00F770C1" w:rsidRDefault="00C56791">
      <w:pPr>
        <w:spacing w:line="252" w:lineRule="auto"/>
        <w:ind w:righ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Leadership: </w:t>
      </w:r>
      <w:r>
        <w:rPr>
          <w:rFonts w:ascii="Calibri" w:eastAsia="Calibri" w:hAnsi="Calibri" w:cs="Calibri"/>
          <w:color w:val="595959"/>
          <w:sz w:val="19"/>
          <w:szCs w:val="19"/>
        </w:rPr>
        <w:t>Leading teams at the Client, Strategic and Project Level including sub-consultants and site teams.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Project Management: </w:t>
      </w:r>
      <w:r>
        <w:rPr>
          <w:rFonts w:ascii="Calibri" w:eastAsia="Calibri" w:hAnsi="Calibri" w:cs="Calibri"/>
          <w:color w:val="595959"/>
          <w:sz w:val="19"/>
          <w:szCs w:val="19"/>
        </w:rPr>
        <w:t>Full project lifecycle management consistently achieving budget and deadline</w:t>
      </w:r>
      <w:r>
        <w:rPr>
          <w:rFonts w:ascii="Calibri" w:eastAsia="Calibri" w:hAnsi="Calibri" w:cs="Calibri"/>
          <w:color w:val="595959"/>
          <w:sz w:val="19"/>
          <w:szCs w:val="19"/>
        </w:rPr>
        <w:t xml:space="preserve"> from design to site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Architectural Design: </w:t>
      </w:r>
      <w:r>
        <w:rPr>
          <w:rFonts w:ascii="Calibri" w:eastAsia="Calibri" w:hAnsi="Calibri" w:cs="Calibri"/>
          <w:color w:val="595959"/>
          <w:sz w:val="19"/>
          <w:szCs w:val="19"/>
        </w:rPr>
        <w:t>Qualified Architectural Engineer with over 14 years of experience delivering to high-quality standards.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Design Concepts: </w:t>
      </w:r>
      <w:r>
        <w:rPr>
          <w:rFonts w:ascii="Calibri" w:eastAsia="Calibri" w:hAnsi="Calibri" w:cs="Calibri"/>
          <w:color w:val="595959"/>
          <w:sz w:val="19"/>
          <w:szCs w:val="19"/>
        </w:rPr>
        <w:t>Urban Design, Interior Design, Traditional Design, Engineering, Detailing, Engineering and T</w:t>
      </w:r>
      <w:r>
        <w:rPr>
          <w:rFonts w:ascii="Calibri" w:eastAsia="Calibri" w:hAnsi="Calibri" w:cs="Calibri"/>
          <w:color w:val="595959"/>
          <w:sz w:val="19"/>
          <w:szCs w:val="19"/>
        </w:rPr>
        <w:t>endering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Client Management: </w:t>
      </w:r>
      <w:r>
        <w:rPr>
          <w:rFonts w:ascii="Calibri" w:eastAsia="Calibri" w:hAnsi="Calibri" w:cs="Calibri"/>
          <w:color w:val="595959"/>
          <w:sz w:val="19"/>
          <w:szCs w:val="19"/>
        </w:rPr>
        <w:t>Fostering relationships with clients; transparent reporting across project lifecycle through to handover.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Communications: </w:t>
      </w:r>
      <w:r>
        <w:rPr>
          <w:rFonts w:ascii="Calibri" w:eastAsia="Calibri" w:hAnsi="Calibri" w:cs="Calibri"/>
          <w:color w:val="595959"/>
          <w:sz w:val="19"/>
          <w:szCs w:val="19"/>
        </w:rPr>
        <w:t>Strong communicator able to influence and negotiate across all levels; natural rapport builder.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Workstream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s: </w:t>
      </w:r>
      <w:r>
        <w:rPr>
          <w:rFonts w:ascii="Calibri" w:eastAsia="Calibri" w:hAnsi="Calibri" w:cs="Calibri"/>
          <w:color w:val="595959"/>
          <w:sz w:val="19"/>
          <w:szCs w:val="19"/>
        </w:rPr>
        <w:t>Planning, forecasting, workflow optimisation and prioritisation; resource allocations and cost control.</w:t>
      </w:r>
    </w:p>
    <w:p w:rsidR="00F770C1" w:rsidRDefault="00F770C1">
      <w:pPr>
        <w:spacing w:line="57" w:lineRule="exact"/>
        <w:rPr>
          <w:sz w:val="24"/>
          <w:szCs w:val="24"/>
        </w:rPr>
      </w:pPr>
    </w:p>
    <w:p w:rsidR="00F770C1" w:rsidRDefault="00C56791">
      <w:pPr>
        <w:spacing w:line="227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Regulation: </w:t>
      </w:r>
      <w:r>
        <w:rPr>
          <w:rFonts w:ascii="Calibri" w:eastAsia="Calibri" w:hAnsi="Calibri" w:cs="Calibri"/>
          <w:color w:val="595959"/>
          <w:sz w:val="19"/>
          <w:szCs w:val="19"/>
        </w:rPr>
        <w:t>Experienced at seeking and achieving approval across the UAE and Syria meeting design and building codes.</w:t>
      </w: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 xml:space="preserve"> IT Skill Scope: </w:t>
      </w:r>
      <w:r>
        <w:rPr>
          <w:rFonts w:ascii="Calibri" w:eastAsia="Calibri" w:hAnsi="Calibri" w:cs="Calibri"/>
          <w:color w:val="595959"/>
          <w:sz w:val="19"/>
          <w:szCs w:val="19"/>
        </w:rPr>
        <w:t>AutoCAD, AutoC</w:t>
      </w:r>
      <w:r>
        <w:rPr>
          <w:rFonts w:ascii="Calibri" w:eastAsia="Calibri" w:hAnsi="Calibri" w:cs="Calibri"/>
          <w:color w:val="595959"/>
          <w:sz w:val="19"/>
          <w:szCs w:val="19"/>
        </w:rPr>
        <w:t>AD Architecture, 3D Studio Max, Adobe Photoshop, Microsoft Office</w:t>
      </w:r>
    </w:p>
    <w:p w:rsidR="00F770C1" w:rsidRDefault="00F770C1">
      <w:pPr>
        <w:spacing w:line="227" w:lineRule="auto"/>
        <w:ind w:right="180"/>
        <w:rPr>
          <w:sz w:val="24"/>
          <w:szCs w:val="24"/>
        </w:rPr>
        <w:sectPr w:rsidR="00F770C1">
          <w:pgSz w:w="11900" w:h="16838"/>
          <w:pgMar w:top="707" w:right="720" w:bottom="516" w:left="720" w:header="0" w:footer="0" w:gutter="0"/>
          <w:cols w:space="720" w:equalWidth="0">
            <w:col w:w="10460"/>
          </w:cols>
        </w:sectPr>
      </w:pP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-.65pt,8.4pt" to="526.7pt,8.4pt" o:allowincell="f" strokecolor="#0070c0"/>
        </w:pict>
      </w:r>
    </w:p>
    <w:p w:rsidR="00F770C1" w:rsidRDefault="00F770C1">
      <w:pPr>
        <w:spacing w:line="267" w:lineRule="exact"/>
        <w:rPr>
          <w:sz w:val="24"/>
          <w:szCs w:val="24"/>
        </w:rPr>
      </w:pPr>
    </w:p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EXPERIENCE</w:t>
      </w:r>
    </w:p>
    <w:p w:rsidR="00F770C1" w:rsidRDefault="00C56791">
      <w:pPr>
        <w:spacing w:line="324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770C1" w:rsidRDefault="00C56791">
      <w:pPr>
        <w:tabs>
          <w:tab w:val="left" w:pos="63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Bainona Engineering Consultancy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</w:rPr>
        <w:t>Jan 2015 – PRESENT</w:t>
      </w:r>
    </w:p>
    <w:p w:rsidR="00F770C1" w:rsidRDefault="00F770C1">
      <w:pPr>
        <w:spacing w:line="16" w:lineRule="exact"/>
        <w:rPr>
          <w:sz w:val="24"/>
          <w:szCs w:val="24"/>
        </w:rPr>
      </w:pPr>
    </w:p>
    <w:p w:rsidR="00F770C1" w:rsidRDefault="00C56791">
      <w:pPr>
        <w:tabs>
          <w:tab w:val="left" w:pos="63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Design Projects Manager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9"/>
          <w:szCs w:val="19"/>
        </w:rPr>
        <w:t>UAE</w:t>
      </w:r>
    </w:p>
    <w:p w:rsidR="00F770C1" w:rsidRDefault="00F770C1">
      <w:pPr>
        <w:spacing w:line="190" w:lineRule="exact"/>
        <w:rPr>
          <w:sz w:val="24"/>
          <w:szCs w:val="24"/>
        </w:rPr>
      </w:pPr>
    </w:p>
    <w:p w:rsidR="00F770C1" w:rsidRDefault="00C56791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 xml:space="preserve">Responsible for managing design projects to challenging deadlines and </w:t>
      </w:r>
      <w:r>
        <w:rPr>
          <w:rFonts w:ascii="Calibri" w:eastAsia="Calibri" w:hAnsi="Calibri" w:cs="Calibri"/>
          <w:color w:val="595959"/>
          <w:sz w:val="19"/>
          <w:szCs w:val="19"/>
        </w:rPr>
        <w:t>budgetary restrictions, I lead key project teams to meet project milestones and design objectives. Delivering in a stakeholder facing environment, I ensure that client requirements are achieved and that brand loyalty is established through professional des</w:t>
      </w:r>
      <w:r>
        <w:rPr>
          <w:rFonts w:ascii="Calibri" w:eastAsia="Calibri" w:hAnsi="Calibri" w:cs="Calibri"/>
          <w:color w:val="595959"/>
          <w:sz w:val="19"/>
          <w:szCs w:val="19"/>
        </w:rPr>
        <w:t>ign services. With full oversight of project performance, workstream allocations and resolving key design issues as an Architectural and Engineering SME expert, I report directly to Senior Consultancy teams on key metrics to regulatory and ISO standards.</w:t>
      </w:r>
    </w:p>
    <w:p w:rsidR="00F770C1" w:rsidRDefault="00F770C1">
      <w:pPr>
        <w:spacing w:line="150" w:lineRule="exact"/>
        <w:rPr>
          <w:sz w:val="24"/>
          <w:szCs w:val="24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Project Management</w:t>
      </w: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Responsible for defining project scope and translating client requirements to project planning sessions.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Establishing workflow plans, activity plans, identifying and planning resources and project schedules.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Overseeing all project admi</w:t>
      </w:r>
      <w:r>
        <w:rPr>
          <w:rFonts w:ascii="Calibri" w:eastAsia="Calibri" w:hAnsi="Calibri" w:cs="Calibri"/>
          <w:color w:val="595959"/>
          <w:sz w:val="13"/>
          <w:szCs w:val="13"/>
        </w:rPr>
        <w:t>nistration (PMO) and the achievement of project governance and regulation.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Coordinating and facilitating tendering processes analysing for the best-offer to quality and cost targets.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 xml:space="preserve">Monitoring project delivery from design to specification meeting </w:t>
      </w:r>
      <w:r>
        <w:rPr>
          <w:rFonts w:ascii="Calibri" w:eastAsia="Calibri" w:hAnsi="Calibri" w:cs="Calibri"/>
          <w:color w:val="595959"/>
          <w:sz w:val="13"/>
          <w:szCs w:val="13"/>
        </w:rPr>
        <w:t>standards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Overall project control of all forms, records, change, quality and regulatory sign off.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Driving project teams, resolving key issues, adding rigour as an SME expert and achieving deliverables.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1"/>
        </w:numPr>
        <w:tabs>
          <w:tab w:val="left" w:pos="140"/>
        </w:tabs>
        <w:ind w:left="140" w:hanging="135"/>
        <w:jc w:val="both"/>
        <w:rPr>
          <w:rFonts w:ascii="Wingdings" w:eastAsia="Wingdings" w:hAnsi="Wingdings" w:cs="Wingdings"/>
          <w:color w:val="595959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595959"/>
          <w:sz w:val="18"/>
          <w:szCs w:val="18"/>
        </w:rPr>
        <w:t xml:space="preserve">Implementing tools to monitor project progression </w:t>
      </w:r>
      <w:r>
        <w:rPr>
          <w:rFonts w:ascii="Calibri" w:eastAsia="Calibri" w:hAnsi="Calibri" w:cs="Calibri"/>
          <w:color w:val="595959"/>
          <w:sz w:val="18"/>
          <w:szCs w:val="18"/>
        </w:rPr>
        <w:t>at all stages; optimising the project lifecycle and efficiency.</w:t>
      </w:r>
    </w:p>
    <w:p w:rsidR="00F770C1" w:rsidRDefault="00F770C1">
      <w:pPr>
        <w:spacing w:line="166" w:lineRule="exact"/>
        <w:rPr>
          <w:sz w:val="24"/>
          <w:szCs w:val="24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Team Management</w:t>
      </w:r>
    </w:p>
    <w:p w:rsidR="00F770C1" w:rsidRDefault="00C56791">
      <w:pPr>
        <w:numPr>
          <w:ilvl w:val="0"/>
          <w:numId w:val="2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Responsible for the performance management of design, project and contractual teams.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2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Coordinating reviews, appraisals and identifying training needs to achieve professional q</w:t>
      </w:r>
      <w:r>
        <w:rPr>
          <w:rFonts w:ascii="Calibri" w:eastAsia="Calibri" w:hAnsi="Calibri" w:cs="Calibri"/>
          <w:color w:val="595959"/>
          <w:sz w:val="13"/>
          <w:szCs w:val="13"/>
        </w:rPr>
        <w:t>uality standards.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2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Responsible for building specialist teams with full control of recruitment, screening, interview and selection.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2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Facilitating on-boarding and orientation for new employees for rapid integration to business services.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2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Managing sub-consult</w:t>
      </w:r>
      <w:r>
        <w:rPr>
          <w:rFonts w:ascii="Calibri" w:eastAsia="Calibri" w:hAnsi="Calibri" w:cs="Calibri"/>
          <w:color w:val="595959"/>
          <w:sz w:val="13"/>
          <w:szCs w:val="13"/>
        </w:rPr>
        <w:t>ants within office and site environments to achieve design specifications and quality.</w:t>
      </w:r>
    </w:p>
    <w:p w:rsidR="00F770C1" w:rsidRDefault="00F770C1">
      <w:pPr>
        <w:spacing w:line="148" w:lineRule="exact"/>
        <w:rPr>
          <w:sz w:val="24"/>
          <w:szCs w:val="24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Site Supervision</w:t>
      </w:r>
    </w:p>
    <w:p w:rsidR="00F770C1" w:rsidRDefault="00C56791">
      <w:pPr>
        <w:numPr>
          <w:ilvl w:val="0"/>
          <w:numId w:val="3"/>
        </w:numPr>
        <w:tabs>
          <w:tab w:val="left" w:pos="140"/>
        </w:tabs>
        <w:spacing w:line="187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Acting as the primary design lead for all site project meetings; chairing progress discussions.</w:t>
      </w:r>
    </w:p>
    <w:p w:rsidR="00F770C1" w:rsidRDefault="00F770C1">
      <w:pPr>
        <w:spacing w:line="44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3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 xml:space="preserve">Utilising performance and insight reports to review </w:t>
      </w:r>
      <w:r>
        <w:rPr>
          <w:rFonts w:ascii="Calibri" w:eastAsia="Calibri" w:hAnsi="Calibri" w:cs="Calibri"/>
          <w:color w:val="595959"/>
          <w:sz w:val="13"/>
          <w:szCs w:val="13"/>
        </w:rPr>
        <w:t>project status and allocate site workstreams.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3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Reviewing site build quality, achievement of regulatory compliance and delivery to client specifications.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3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Coordinating resources and material selection at the site stage to achieve project requirements.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3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Repo</w:t>
      </w:r>
      <w:r>
        <w:rPr>
          <w:rFonts w:ascii="Calibri" w:eastAsia="Calibri" w:hAnsi="Calibri" w:cs="Calibri"/>
          <w:color w:val="595959"/>
          <w:sz w:val="13"/>
          <w:szCs w:val="13"/>
        </w:rPr>
        <w:t>rting direct to clients and key stakeholders on site progression, deadlines and schedules to completion.</w:t>
      </w:r>
    </w:p>
    <w:p w:rsidR="00F770C1" w:rsidRDefault="00F770C1">
      <w:pPr>
        <w:spacing w:line="148" w:lineRule="exact"/>
        <w:rPr>
          <w:sz w:val="24"/>
          <w:szCs w:val="24"/>
        </w:rPr>
      </w:pPr>
    </w:p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Key Projects</w:t>
      </w:r>
    </w:p>
    <w:p w:rsidR="00F770C1" w:rsidRDefault="00F770C1">
      <w:pPr>
        <w:spacing w:line="142" w:lineRule="exact"/>
        <w:rPr>
          <w:sz w:val="24"/>
          <w:szCs w:val="24"/>
        </w:rPr>
      </w:pPr>
    </w:p>
    <w:p w:rsidR="00F770C1" w:rsidRDefault="00C56791">
      <w:pPr>
        <w:numPr>
          <w:ilvl w:val="0"/>
          <w:numId w:val="4"/>
        </w:numPr>
        <w:tabs>
          <w:tab w:val="left" w:pos="142"/>
        </w:tabs>
        <w:spacing w:line="186" w:lineRule="auto"/>
        <w:ind w:right="20" w:firstLine="5"/>
        <w:jc w:val="both"/>
        <w:rPr>
          <w:rFonts w:ascii="Wingdings" w:eastAsia="Wingdings" w:hAnsi="Wingdings" w:cs="Wingdings"/>
          <w:color w:val="595959"/>
          <w:sz w:val="30"/>
          <w:szCs w:val="30"/>
          <w:vertAlign w:val="superscript"/>
        </w:rPr>
      </w:pPr>
      <w:r>
        <w:rPr>
          <w:rFonts w:ascii="Calibri" w:eastAsia="Calibri" w:hAnsi="Calibri" w:cs="Calibri"/>
          <w:color w:val="595959"/>
          <w:sz w:val="16"/>
          <w:szCs w:val="16"/>
        </w:rPr>
        <w:t xml:space="preserve">Commercial &amp; Residential: Tower – 3 Basements, Ground &amp; 4 Podium Floors, 42 Floors above grade, Saraya -Located in Abu Dhabi (Cornish </w:t>
      </w:r>
      <w:r>
        <w:rPr>
          <w:rFonts w:ascii="Calibri" w:eastAsia="Calibri" w:hAnsi="Calibri" w:cs="Calibri"/>
          <w:color w:val="595959"/>
          <w:sz w:val="16"/>
          <w:szCs w:val="16"/>
        </w:rPr>
        <w:t>Road) with luxury finishes; 48,000m</w:t>
      </w:r>
      <w:r>
        <w:rPr>
          <w:rFonts w:ascii="Calibri" w:eastAsia="Calibri" w:hAnsi="Calibri" w:cs="Calibri"/>
          <w:color w:val="595959"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color w:val="595959"/>
          <w:sz w:val="16"/>
          <w:szCs w:val="16"/>
        </w:rPr>
        <w:t xml:space="preserve"> with a build budget of AED 216million.</w:t>
      </w:r>
    </w:p>
    <w:p w:rsidR="00F770C1" w:rsidRDefault="00F770C1">
      <w:pPr>
        <w:spacing w:line="1" w:lineRule="exact"/>
        <w:rPr>
          <w:rFonts w:ascii="Wingdings" w:eastAsia="Wingdings" w:hAnsi="Wingdings" w:cs="Wingdings"/>
          <w:color w:val="595959"/>
          <w:sz w:val="30"/>
          <w:szCs w:val="30"/>
          <w:vertAlign w:val="superscript"/>
        </w:rPr>
      </w:pPr>
    </w:p>
    <w:p w:rsidR="00F770C1" w:rsidRDefault="00C56791">
      <w:pPr>
        <w:numPr>
          <w:ilvl w:val="0"/>
          <w:numId w:val="4"/>
        </w:numPr>
        <w:tabs>
          <w:tab w:val="left" w:pos="140"/>
        </w:tabs>
        <w:spacing w:line="182" w:lineRule="auto"/>
        <w:ind w:left="140" w:hanging="135"/>
        <w:jc w:val="both"/>
        <w:rPr>
          <w:rFonts w:ascii="Wingdings" w:eastAsia="Wingdings" w:hAnsi="Wingdings" w:cs="Wingdings"/>
          <w:color w:val="595959"/>
          <w:sz w:val="24"/>
          <w:szCs w:val="24"/>
          <w:vertAlign w:val="superscript"/>
        </w:rPr>
      </w:pPr>
      <w:r>
        <w:rPr>
          <w:rFonts w:ascii="Calibri" w:eastAsia="Calibri" w:hAnsi="Calibri" w:cs="Calibri"/>
          <w:color w:val="595959"/>
          <w:sz w:val="14"/>
          <w:szCs w:val="14"/>
        </w:rPr>
        <w:t>Commercial &amp; Residential: Building – 1 Basement, Ground &amp; 16 Floors above grade, Al-Reem Island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sz w:val="24"/>
          <w:szCs w:val="24"/>
          <w:vertAlign w:val="superscript"/>
        </w:rPr>
      </w:pPr>
    </w:p>
    <w:p w:rsidR="00F770C1" w:rsidRDefault="00C56791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lastRenderedPageBreak/>
        <w:t>Commercial &amp; Residential: 3 Buildings, Al-Raha Beach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4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 xml:space="preserve">Government Facilities: Led </w:t>
      </w:r>
      <w:r>
        <w:rPr>
          <w:rFonts w:ascii="Calibri" w:eastAsia="Calibri" w:hAnsi="Calibri" w:cs="Calibri"/>
          <w:color w:val="595959"/>
          <w:sz w:val="13"/>
          <w:szCs w:val="13"/>
        </w:rPr>
        <w:t>the design and project management of Red Crescent Headquaters.</w:t>
      </w:r>
    </w:p>
    <w:p w:rsidR="00F770C1" w:rsidRDefault="00F770C1">
      <w:pPr>
        <w:sectPr w:rsidR="00F770C1">
          <w:type w:val="continuous"/>
          <w:pgSz w:w="11900" w:h="16838"/>
          <w:pgMar w:top="707" w:right="720" w:bottom="516" w:left="720" w:header="0" w:footer="0" w:gutter="0"/>
          <w:cols w:num="2" w:space="720" w:equalWidth="0">
            <w:col w:w="1420" w:space="560"/>
            <w:col w:w="8480"/>
          </w:cols>
        </w:sectPr>
      </w:pPr>
    </w:p>
    <w:p w:rsidR="00F770C1" w:rsidRDefault="00C56791">
      <w:pPr>
        <w:numPr>
          <w:ilvl w:val="0"/>
          <w:numId w:val="5"/>
        </w:numPr>
        <w:tabs>
          <w:tab w:val="left" w:pos="140"/>
        </w:tabs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bookmarkStart w:id="0" w:name="page2"/>
      <w:bookmarkEnd w:id="0"/>
      <w:r>
        <w:rPr>
          <w:rFonts w:ascii="Calibri" w:eastAsia="Calibri" w:hAnsi="Calibri" w:cs="Calibri"/>
          <w:color w:val="595959"/>
          <w:sz w:val="19"/>
          <w:szCs w:val="19"/>
        </w:rPr>
        <w:lastRenderedPageBreak/>
        <w:t>Government Facilities: Building with MOI, Al-Ain City</w:t>
      </w:r>
    </w:p>
    <w:p w:rsidR="00F770C1" w:rsidRDefault="00F770C1">
      <w:pPr>
        <w:spacing w:line="44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5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Police Facilities: Station Building with Police Dept. and Ms. Musanada, Al-Marfaa City</w:t>
      </w:r>
    </w:p>
    <w:p w:rsidR="00F770C1" w:rsidRDefault="00F770C1">
      <w:pPr>
        <w:spacing w:line="29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" from="1pt,9.25pt" to="427.85pt,9.25pt" o:allowincell="f" strokecolor="#0070c0"/>
        </w:pict>
      </w:r>
    </w:p>
    <w:p w:rsidR="00F770C1" w:rsidRDefault="00C56791">
      <w:pPr>
        <w:tabs>
          <w:tab w:val="left" w:pos="63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 xml:space="preserve">Hannover </w:t>
      </w:r>
      <w:r>
        <w:rPr>
          <w:rFonts w:ascii="Calibri" w:eastAsia="Calibri" w:hAnsi="Calibri" w:cs="Calibri"/>
          <w:b/>
          <w:bCs/>
          <w:color w:val="595959"/>
        </w:rPr>
        <w:t>Consulting Engineers &amp; Vancouver Interiors LLC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</w:rPr>
        <w:t>Nov 2006 – Jan 2015</w:t>
      </w:r>
    </w:p>
    <w:p w:rsidR="00F770C1" w:rsidRDefault="00F770C1">
      <w:pPr>
        <w:spacing w:line="1" w:lineRule="exact"/>
        <w:rPr>
          <w:sz w:val="20"/>
          <w:szCs w:val="20"/>
        </w:rPr>
      </w:pPr>
    </w:p>
    <w:p w:rsidR="00F770C1" w:rsidRDefault="00C56791">
      <w:pPr>
        <w:tabs>
          <w:tab w:val="left" w:pos="6360"/>
        </w:tabs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Senior Architect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9"/>
          <w:szCs w:val="19"/>
        </w:rPr>
        <w:t>UAE</w:t>
      </w:r>
    </w:p>
    <w:p w:rsidR="00F770C1" w:rsidRDefault="00F770C1">
      <w:pPr>
        <w:spacing w:line="146" w:lineRule="exact"/>
        <w:rPr>
          <w:sz w:val="20"/>
          <w:szCs w:val="20"/>
        </w:rPr>
      </w:pPr>
    </w:p>
    <w:p w:rsidR="00F770C1" w:rsidRDefault="00C56791">
      <w:pPr>
        <w:spacing w:line="23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Responsible for the management, performance and optimisation of Design and Engineering teams, across a 9-year progressive career I influenced the direction, scope, de</w:t>
      </w:r>
      <w:r>
        <w:rPr>
          <w:rFonts w:ascii="Calibri" w:eastAsia="Calibri" w:hAnsi="Calibri" w:cs="Calibri"/>
          <w:color w:val="595959"/>
          <w:sz w:val="19"/>
          <w:szCs w:val="19"/>
        </w:rPr>
        <w:t>finition and quality of key Community, Private, Royal, Residential, Office, Commercial and Industrial design projects from client inception through to completion and hand-over. Often delivering in high-end, quality environments with exacting specifications</w:t>
      </w:r>
      <w:r>
        <w:rPr>
          <w:rFonts w:ascii="Calibri" w:eastAsia="Calibri" w:hAnsi="Calibri" w:cs="Calibri"/>
          <w:color w:val="595959"/>
          <w:sz w:val="19"/>
          <w:szCs w:val="19"/>
        </w:rPr>
        <w:t xml:space="preserve"> for finishes, my ability to troubleshoot key issues, manage site quality and achieve requirements secured my position as a Senior Architectural and Design giant.</w:t>
      </w:r>
    </w:p>
    <w:p w:rsidR="00F770C1" w:rsidRDefault="00F770C1">
      <w:pPr>
        <w:spacing w:line="149" w:lineRule="exact"/>
        <w:rPr>
          <w:sz w:val="20"/>
          <w:szCs w:val="20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Senior Architect &amp; Design Project Manager</w:t>
      </w: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7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 xml:space="preserve">Managed stakeholder and client expectations and </w:t>
      </w:r>
      <w:r>
        <w:rPr>
          <w:rFonts w:ascii="Calibri" w:eastAsia="Calibri" w:hAnsi="Calibri" w:cs="Calibri"/>
          <w:color w:val="595959"/>
          <w:sz w:val="19"/>
          <w:szCs w:val="19"/>
        </w:rPr>
        <w:t>reporting from inception to completion.</w:t>
      </w:r>
    </w:p>
    <w:p w:rsidR="00F770C1" w:rsidRDefault="00F770C1">
      <w:pPr>
        <w:spacing w:line="44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Established tools and controls to manage project progression, quality and regulatory compliance.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Coordinated submission and approval processes with local government colleagues to achieve schedules.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Oversight of sc</w:t>
      </w:r>
      <w:r>
        <w:rPr>
          <w:rFonts w:ascii="Calibri" w:eastAsia="Calibri" w:hAnsi="Calibri" w:cs="Calibri"/>
          <w:color w:val="595959"/>
          <w:sz w:val="13"/>
          <w:szCs w:val="13"/>
        </w:rPr>
        <w:t>hematic designs, development and achievement of quality and design codes.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Management of project working drawings, details, specification, tender and project administration.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Led design, project, supervision team and sub-contractor teams on site to quality</w:t>
      </w:r>
      <w:r>
        <w:rPr>
          <w:rFonts w:ascii="Calibri" w:eastAsia="Calibri" w:hAnsi="Calibri" w:cs="Calibri"/>
          <w:color w:val="595959"/>
          <w:sz w:val="13"/>
          <w:szCs w:val="13"/>
        </w:rPr>
        <w:t xml:space="preserve"> and compliance.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Specialised in Interior Design Packages in close collaboration with clients and designers.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6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Optimised project costs, quality and finishes to meet architectural thematic and specifications.</w:t>
      </w:r>
    </w:p>
    <w:p w:rsidR="00F770C1" w:rsidRDefault="00F770C1">
      <w:pPr>
        <w:spacing w:line="146" w:lineRule="exact"/>
        <w:rPr>
          <w:sz w:val="20"/>
          <w:szCs w:val="20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Key Projects</w:t>
      </w: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Residential: Compound of 72 villas,</w:t>
      </w:r>
      <w:r>
        <w:rPr>
          <w:rFonts w:ascii="Calibri" w:eastAsia="Calibri" w:hAnsi="Calibri" w:cs="Calibri"/>
          <w:color w:val="595959"/>
          <w:sz w:val="19"/>
          <w:szCs w:val="19"/>
        </w:rPr>
        <w:t xml:space="preserve"> amenities and recreational facilities.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Commercial &amp; Residential: 25 Towers across Abu Dhabi for various high-end clients.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Al-Mina Hotel: Design and delivery of a 4 Basement, Ground, and 19 Floors above Grade &amp; Roof.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6" w:lineRule="auto"/>
        <w:ind w:left="140" w:hanging="135"/>
        <w:jc w:val="both"/>
        <w:rPr>
          <w:rFonts w:ascii="Wingdings" w:eastAsia="Wingdings" w:hAnsi="Wingdings" w:cs="Wingdings"/>
          <w:color w:val="595959"/>
          <w:sz w:val="25"/>
          <w:szCs w:val="25"/>
          <w:vertAlign w:val="superscript"/>
        </w:rPr>
      </w:pPr>
      <w:r>
        <w:rPr>
          <w:rFonts w:ascii="Calibri" w:eastAsia="Calibri" w:hAnsi="Calibri" w:cs="Calibri"/>
          <w:color w:val="595959"/>
          <w:sz w:val="15"/>
          <w:szCs w:val="15"/>
        </w:rPr>
        <w:t xml:space="preserve">Hotel Facilities: 3 Basement, </w:t>
      </w:r>
      <w:r>
        <w:rPr>
          <w:rFonts w:ascii="Calibri" w:eastAsia="Calibri" w:hAnsi="Calibri" w:cs="Calibri"/>
          <w:color w:val="595959"/>
          <w:sz w:val="15"/>
          <w:szCs w:val="15"/>
        </w:rPr>
        <w:t>Ground, 1</w:t>
      </w:r>
      <w:r>
        <w:rPr>
          <w:rFonts w:ascii="Calibri" w:eastAsia="Calibri" w:hAnsi="Calibri" w:cs="Calibri"/>
          <w:color w:val="595959"/>
          <w:sz w:val="17"/>
          <w:szCs w:val="17"/>
          <w:vertAlign w:val="superscript"/>
        </w:rPr>
        <w:t>st</w:t>
      </w:r>
      <w:r>
        <w:rPr>
          <w:rFonts w:ascii="Calibri" w:eastAsia="Calibri" w:hAnsi="Calibri" w:cs="Calibri"/>
          <w:color w:val="595959"/>
          <w:sz w:val="15"/>
          <w:szCs w:val="15"/>
        </w:rPr>
        <w:t xml:space="preserve"> and 12 Typical Floors and Roof within the heart of Dubai.</w:t>
      </w:r>
    </w:p>
    <w:p w:rsidR="00F770C1" w:rsidRDefault="00F770C1">
      <w:pPr>
        <w:spacing w:line="17" w:lineRule="exact"/>
        <w:rPr>
          <w:rFonts w:ascii="Wingdings" w:eastAsia="Wingdings" w:hAnsi="Wingdings" w:cs="Wingdings"/>
          <w:color w:val="595959"/>
          <w:sz w:val="25"/>
          <w:szCs w:val="25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Government Facility: Design and project management of the Family Developing Foundation Headquarters.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Commercial Office: Building with 3 Basements, Ground and 7 Typical Floors and Roof,</w:t>
      </w:r>
      <w:r>
        <w:rPr>
          <w:rFonts w:ascii="Calibri" w:eastAsia="Calibri" w:hAnsi="Calibri" w:cs="Calibri"/>
          <w:color w:val="595959"/>
          <w:sz w:val="13"/>
          <w:szCs w:val="13"/>
        </w:rPr>
        <w:t xml:space="preserve"> Dubai / Al-Furjan.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Industrial Gypsum Factory &amp; Bus Factory: Industrial design and execution within Mussafah.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7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Al-Shahama Car Care &amp; Shopping Centre: Design and management of all project activities.</w:t>
      </w:r>
    </w:p>
    <w:p w:rsidR="00F770C1" w:rsidRDefault="00F770C1">
      <w:pPr>
        <w:spacing w:line="29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" from="1pt,9.35pt" to="427.85pt,9.35pt" o:allowincell="f" strokecolor="#0070c0"/>
        </w:pict>
      </w:r>
    </w:p>
    <w:p w:rsidR="00F770C1" w:rsidRDefault="00C56791">
      <w:pPr>
        <w:tabs>
          <w:tab w:val="left" w:pos="63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Arabian Gulf Group Engineering Consultancy LLC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</w:rPr>
        <w:t>Aug 200</w:t>
      </w:r>
      <w:r>
        <w:rPr>
          <w:rFonts w:ascii="Calibri" w:eastAsia="Calibri" w:hAnsi="Calibri" w:cs="Calibri"/>
          <w:b/>
          <w:bCs/>
          <w:color w:val="595959"/>
        </w:rPr>
        <w:t>4 – Nov 2006</w:t>
      </w:r>
    </w:p>
    <w:p w:rsidR="00F770C1" w:rsidRDefault="00C56791">
      <w:pPr>
        <w:tabs>
          <w:tab w:val="left" w:pos="6360"/>
        </w:tabs>
        <w:spacing w:line="220" w:lineRule="auto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Architect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20"/>
          <w:szCs w:val="20"/>
        </w:rPr>
        <w:t>UAE</w:t>
      </w:r>
    </w:p>
    <w:p w:rsidR="00F770C1" w:rsidRDefault="00F770C1">
      <w:pPr>
        <w:spacing w:line="121" w:lineRule="exact"/>
        <w:rPr>
          <w:sz w:val="20"/>
          <w:szCs w:val="20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Key Influences</w:t>
      </w:r>
    </w:p>
    <w:p w:rsidR="00F770C1" w:rsidRDefault="00C56791">
      <w:pPr>
        <w:numPr>
          <w:ilvl w:val="0"/>
          <w:numId w:val="8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Lead Designer, Architect and Engineering from client contact and concept to construction phase oversight.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8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Collaboration with Senior Architectures on planning, design, development and working specifications.</w:t>
      </w:r>
    </w:p>
    <w:p w:rsidR="00F770C1" w:rsidRDefault="00F770C1">
      <w:pPr>
        <w:spacing w:line="45" w:lineRule="exact"/>
        <w:rPr>
          <w:rFonts w:ascii="Wingdings" w:eastAsia="Wingdings" w:hAnsi="Wingdings" w:cs="Wingdings"/>
          <w:color w:val="595959"/>
          <w:vertAlign w:val="superscript"/>
        </w:rPr>
      </w:pPr>
    </w:p>
    <w:p w:rsidR="00F770C1" w:rsidRDefault="00C56791">
      <w:pPr>
        <w:numPr>
          <w:ilvl w:val="0"/>
          <w:numId w:val="8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Feasibility study and bill of quantities production to support Tendering, Design and Engineering teams.</w:t>
      </w:r>
    </w:p>
    <w:p w:rsidR="00F770C1" w:rsidRDefault="00F770C1">
      <w:pPr>
        <w:spacing w:line="98" w:lineRule="exact"/>
        <w:rPr>
          <w:sz w:val="20"/>
          <w:szCs w:val="20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9"/>
          <w:szCs w:val="19"/>
        </w:rPr>
        <w:t>Key Projects</w:t>
      </w:r>
    </w:p>
    <w:p w:rsidR="00F770C1" w:rsidRDefault="00C56791">
      <w:pPr>
        <w:numPr>
          <w:ilvl w:val="0"/>
          <w:numId w:val="9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Villas and Residential compounds across the UAE, Residential &amp; Commercial mixed towers in Abu Dhabi</w:t>
      </w:r>
    </w:p>
    <w:p w:rsidR="00F770C1" w:rsidRDefault="00F770C1">
      <w:pPr>
        <w:spacing w:line="43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9"/>
        </w:numPr>
        <w:tabs>
          <w:tab w:val="left" w:pos="140"/>
        </w:tabs>
        <w:spacing w:line="184" w:lineRule="auto"/>
        <w:ind w:left="140" w:hanging="135"/>
        <w:jc w:val="both"/>
        <w:rPr>
          <w:rFonts w:ascii="Wingdings" w:eastAsia="Wingdings" w:hAnsi="Wingdings" w:cs="Wingdings"/>
          <w:color w:val="595959"/>
          <w:vertAlign w:val="superscript"/>
        </w:rPr>
      </w:pPr>
      <w:r>
        <w:rPr>
          <w:rFonts w:ascii="Calibri" w:eastAsia="Calibri" w:hAnsi="Calibri" w:cs="Calibri"/>
          <w:color w:val="595959"/>
          <w:sz w:val="13"/>
          <w:szCs w:val="13"/>
        </w:rPr>
        <w:t>Educational (Kindergarten) Facilities</w:t>
      </w:r>
      <w:r>
        <w:rPr>
          <w:rFonts w:ascii="Calibri" w:eastAsia="Calibri" w:hAnsi="Calibri" w:cs="Calibri"/>
          <w:color w:val="595959"/>
          <w:sz w:val="13"/>
          <w:szCs w:val="13"/>
        </w:rPr>
        <w:t xml:space="preserve"> within Alain City with full design, project and delivery oversight.</w:t>
      </w:r>
    </w:p>
    <w:p w:rsidR="00F770C1" w:rsidRDefault="00F770C1">
      <w:pPr>
        <w:spacing w:line="29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8240;visibility:visible;mso-wrap-distance-left:0;mso-wrap-distance-right:0" from="1pt,9.35pt" to="427.85pt,9.35pt" o:allowincell="f" strokecolor="#0070c0"/>
        </w:pict>
      </w:r>
    </w:p>
    <w:p w:rsidR="00F770C1" w:rsidRDefault="00C56791">
      <w:pPr>
        <w:tabs>
          <w:tab w:val="left" w:pos="636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</w:rPr>
        <w:t>General Company for Studies &amp; Engineering Consultants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</w:rPr>
        <w:t>Aug 2003 – July 2004</w:t>
      </w:r>
    </w:p>
    <w:p w:rsidR="00F770C1" w:rsidRDefault="00C56791">
      <w:pPr>
        <w:tabs>
          <w:tab w:val="left" w:pos="6360"/>
        </w:tabs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595959"/>
        </w:rPr>
        <w:t>Junior Architect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20"/>
          <w:szCs w:val="20"/>
        </w:rPr>
        <w:t>Syria</w:t>
      </w:r>
    </w:p>
    <w:p w:rsidR="00F770C1" w:rsidRDefault="00C56791">
      <w:pPr>
        <w:numPr>
          <w:ilvl w:val="0"/>
          <w:numId w:val="10"/>
        </w:numPr>
        <w:tabs>
          <w:tab w:val="left" w:pos="140"/>
        </w:tabs>
        <w:spacing w:line="188" w:lineRule="auto"/>
        <w:ind w:left="140" w:hanging="135"/>
        <w:jc w:val="both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  <w:r>
        <w:rPr>
          <w:rFonts w:ascii="Calibri" w:eastAsia="Calibri" w:hAnsi="Calibri" w:cs="Calibri"/>
          <w:color w:val="595959"/>
          <w:sz w:val="19"/>
          <w:szCs w:val="19"/>
        </w:rPr>
        <w:t>Supporting design, tendering, concept and development processes for key projects.</w:t>
      </w:r>
    </w:p>
    <w:p w:rsidR="00F770C1" w:rsidRDefault="00F770C1">
      <w:pPr>
        <w:spacing w:line="44" w:lineRule="exact"/>
        <w:rPr>
          <w:rFonts w:ascii="Wingdings" w:eastAsia="Wingdings" w:hAnsi="Wingdings" w:cs="Wingdings"/>
          <w:color w:val="595959"/>
          <w:sz w:val="38"/>
          <w:szCs w:val="38"/>
          <w:vertAlign w:val="superscript"/>
        </w:rPr>
      </w:pPr>
    </w:p>
    <w:p w:rsidR="00F770C1" w:rsidRDefault="00C56791">
      <w:pPr>
        <w:numPr>
          <w:ilvl w:val="0"/>
          <w:numId w:val="10"/>
        </w:numPr>
        <w:tabs>
          <w:tab w:val="left" w:pos="140"/>
        </w:tabs>
        <w:spacing w:line="183" w:lineRule="auto"/>
        <w:ind w:left="140" w:hanging="135"/>
        <w:jc w:val="both"/>
        <w:rPr>
          <w:rFonts w:ascii="Wingdings" w:eastAsia="Wingdings" w:hAnsi="Wingdings" w:cs="Wingdings"/>
          <w:color w:val="595959"/>
          <w:sz w:val="31"/>
          <w:szCs w:val="31"/>
          <w:vertAlign w:val="superscript"/>
        </w:rPr>
      </w:pPr>
      <w:r>
        <w:rPr>
          <w:rFonts w:ascii="Calibri" w:eastAsia="Calibri" w:hAnsi="Calibri" w:cs="Calibri"/>
          <w:color w:val="595959"/>
          <w:sz w:val="17"/>
          <w:szCs w:val="17"/>
        </w:rPr>
        <w:t>Contributed to projects including Gas Investments Management Building, Al-Assad Library &amp; Educational College within Dair Azor, Aleppo and Lattakia, Syria.</w:t>
      </w:r>
    </w:p>
    <w:p w:rsidR="00F770C1" w:rsidRDefault="00F770C1">
      <w:pPr>
        <w:tabs>
          <w:tab w:val="left" w:pos="140"/>
        </w:tabs>
        <w:spacing w:line="183" w:lineRule="auto"/>
        <w:ind w:left="140" w:hanging="135"/>
        <w:jc w:val="both"/>
        <w:rPr>
          <w:sz w:val="20"/>
          <w:szCs w:val="20"/>
        </w:rPr>
        <w:sectPr w:rsidR="00F770C1">
          <w:pgSz w:w="11900" w:h="16838"/>
          <w:pgMar w:top="526" w:right="720" w:bottom="474" w:left="2700" w:header="0" w:footer="0" w:gutter="0"/>
          <w:cols w:space="720" w:equalWidth="0">
            <w:col w:w="8480"/>
          </w:cols>
        </w:sectPr>
      </w:pPr>
      <w:r>
        <w:rPr>
          <w:sz w:val="20"/>
          <w:szCs w:val="20"/>
        </w:rPr>
        <w:pict>
          <v:line id="Shape 7" o:spid="_x0000_s1032" style="position:absolute;left:0;text-align:left;z-index:251659264;visibility:visible;mso-wrap-distance-left:0;mso-wrap-distance-right:0" from="-99.65pt,7.15pt" to="427.7pt,7.15pt" o:allowincell="f" strokecolor="#0070c0"/>
        </w:pict>
      </w:r>
    </w:p>
    <w:p w:rsidR="00F770C1" w:rsidRDefault="00F770C1">
      <w:pPr>
        <w:spacing w:line="256" w:lineRule="exact"/>
        <w:rPr>
          <w:sz w:val="20"/>
          <w:szCs w:val="20"/>
        </w:rPr>
      </w:pPr>
    </w:p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7"/>
          <w:szCs w:val="27"/>
        </w:rPr>
        <w:t>EDUCATION</w:t>
      </w:r>
    </w:p>
    <w:p w:rsidR="00F770C1" w:rsidRDefault="00C56791">
      <w:pPr>
        <w:spacing w:line="312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70C1" w:rsidRDefault="00F770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2620"/>
      </w:tblGrid>
      <w:tr w:rsidR="00F770C1">
        <w:trPr>
          <w:trHeight w:val="256"/>
        </w:trPr>
        <w:tc>
          <w:tcPr>
            <w:tcW w:w="4820" w:type="dxa"/>
            <w:vAlign w:val="bottom"/>
          </w:tcPr>
          <w:p w:rsidR="00F770C1" w:rsidRDefault="00C56791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21"/>
                <w:szCs w:val="21"/>
              </w:rPr>
              <w:t>Bachelor of Architectural Engineering</w:t>
            </w:r>
          </w:p>
        </w:tc>
        <w:tc>
          <w:tcPr>
            <w:tcW w:w="2620" w:type="dxa"/>
            <w:vAlign w:val="bottom"/>
          </w:tcPr>
          <w:p w:rsidR="00F770C1" w:rsidRDefault="00C56791">
            <w:pPr>
              <w:spacing w:line="255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w w:val="98"/>
                <w:sz w:val="21"/>
                <w:szCs w:val="21"/>
              </w:rPr>
              <w:t>1998 – 2003</w:t>
            </w:r>
          </w:p>
        </w:tc>
      </w:tr>
    </w:tbl>
    <w:p w:rsidR="00F770C1" w:rsidRDefault="00F770C1">
      <w:pPr>
        <w:spacing w:line="15" w:lineRule="exact"/>
        <w:rPr>
          <w:sz w:val="20"/>
          <w:szCs w:val="20"/>
        </w:rPr>
      </w:pPr>
    </w:p>
    <w:p w:rsidR="00F770C1" w:rsidRDefault="00C56791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color w:val="595959"/>
          <w:sz w:val="21"/>
          <w:szCs w:val="21"/>
        </w:rPr>
        <w:t xml:space="preserve">University </w:t>
      </w:r>
      <w:r>
        <w:rPr>
          <w:rFonts w:ascii="Calibri" w:eastAsia="Calibri" w:hAnsi="Calibri" w:cs="Calibri"/>
          <w:color w:val="595959"/>
          <w:sz w:val="21"/>
          <w:szCs w:val="21"/>
        </w:rPr>
        <w:t>of Aleppo, Syria</w:t>
      </w:r>
    </w:p>
    <w:p w:rsidR="00F770C1" w:rsidRDefault="00F770C1">
      <w:pPr>
        <w:spacing w:line="239" w:lineRule="auto"/>
        <w:rPr>
          <w:sz w:val="20"/>
          <w:szCs w:val="20"/>
        </w:rPr>
        <w:sectPr w:rsidR="00F770C1">
          <w:type w:val="continuous"/>
          <w:pgSz w:w="11900" w:h="16838"/>
          <w:pgMar w:top="526" w:right="1760" w:bottom="474" w:left="720" w:header="0" w:footer="0" w:gutter="0"/>
          <w:cols w:num="2" w:space="720" w:equalWidth="0">
            <w:col w:w="1400" w:space="580"/>
            <w:col w:w="7440"/>
          </w:cols>
        </w:sect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-99.65pt,7.35pt" to="427.7pt,7.35pt" o:allowincell="f" strokecolor="#0070c0"/>
        </w:pict>
      </w:r>
    </w:p>
    <w:p w:rsidR="00F770C1" w:rsidRDefault="00F770C1">
      <w:pPr>
        <w:spacing w:line="261" w:lineRule="exact"/>
        <w:rPr>
          <w:sz w:val="20"/>
          <w:szCs w:val="20"/>
        </w:rPr>
      </w:pP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7"/>
          <w:szCs w:val="27"/>
        </w:rPr>
        <w:t>TRAINING</w:t>
      </w:r>
    </w:p>
    <w:p w:rsidR="00F770C1" w:rsidRDefault="00C56791">
      <w:pPr>
        <w:spacing w:line="335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770C1" w:rsidRDefault="00F770C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20"/>
        <w:gridCol w:w="2940"/>
        <w:gridCol w:w="620"/>
      </w:tblGrid>
      <w:tr w:rsidR="00F770C1">
        <w:trPr>
          <w:trHeight w:val="232"/>
        </w:trPr>
        <w:tc>
          <w:tcPr>
            <w:tcW w:w="3220" w:type="dxa"/>
            <w:vAlign w:val="bottom"/>
          </w:tcPr>
          <w:p w:rsidR="00F770C1" w:rsidRDefault="00C567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Pearl Qualified Professional (PVRS)</w:t>
            </w:r>
          </w:p>
        </w:tc>
        <w:tc>
          <w:tcPr>
            <w:tcW w:w="2940" w:type="dxa"/>
            <w:vAlign w:val="bottom"/>
          </w:tcPr>
          <w:p w:rsidR="00F770C1" w:rsidRDefault="00C56791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Urban Planning Council, UAE</w:t>
            </w:r>
          </w:p>
        </w:tc>
        <w:tc>
          <w:tcPr>
            <w:tcW w:w="620" w:type="dxa"/>
            <w:vAlign w:val="bottom"/>
          </w:tcPr>
          <w:p w:rsidR="00F770C1" w:rsidRDefault="00C567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2011</w:t>
            </w:r>
          </w:p>
        </w:tc>
      </w:tr>
      <w:tr w:rsidR="00F770C1">
        <w:trPr>
          <w:trHeight w:val="254"/>
        </w:trPr>
        <w:tc>
          <w:tcPr>
            <w:tcW w:w="3220" w:type="dxa"/>
            <w:vAlign w:val="bottom"/>
          </w:tcPr>
          <w:p w:rsidR="00F770C1" w:rsidRDefault="00C5679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Pearl Qualified Professional (PBRS)</w:t>
            </w:r>
          </w:p>
        </w:tc>
        <w:tc>
          <w:tcPr>
            <w:tcW w:w="2940" w:type="dxa"/>
            <w:vAlign w:val="bottom"/>
          </w:tcPr>
          <w:p w:rsidR="00F770C1" w:rsidRDefault="00C56791">
            <w:pPr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Urban Planning Council, UAE</w:t>
            </w:r>
          </w:p>
        </w:tc>
        <w:tc>
          <w:tcPr>
            <w:tcW w:w="620" w:type="dxa"/>
            <w:vAlign w:val="bottom"/>
          </w:tcPr>
          <w:p w:rsidR="00F770C1" w:rsidRDefault="00C5679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2011</w:t>
            </w:r>
          </w:p>
        </w:tc>
      </w:tr>
      <w:tr w:rsidR="00F770C1">
        <w:trPr>
          <w:trHeight w:val="233"/>
        </w:trPr>
        <w:tc>
          <w:tcPr>
            <w:tcW w:w="3220" w:type="dxa"/>
            <w:vAlign w:val="bottom"/>
          </w:tcPr>
          <w:p w:rsidR="00F770C1" w:rsidRDefault="00C56791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ISO &amp; ISO Certificating</w:t>
            </w:r>
          </w:p>
        </w:tc>
        <w:tc>
          <w:tcPr>
            <w:tcW w:w="2940" w:type="dxa"/>
            <w:vAlign w:val="bottom"/>
          </w:tcPr>
          <w:p w:rsidR="00F770C1" w:rsidRDefault="00C56791">
            <w:pPr>
              <w:spacing w:line="231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Hannover HQ, UAE</w:t>
            </w:r>
          </w:p>
        </w:tc>
        <w:tc>
          <w:tcPr>
            <w:tcW w:w="620" w:type="dxa"/>
            <w:vAlign w:val="bottom"/>
          </w:tcPr>
          <w:p w:rsidR="00F770C1" w:rsidRDefault="00C56791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595959"/>
                <w:sz w:val="19"/>
                <w:szCs w:val="19"/>
              </w:rPr>
              <w:t>2011</w:t>
            </w:r>
          </w:p>
        </w:tc>
      </w:tr>
    </w:tbl>
    <w:p w:rsidR="00F770C1" w:rsidRDefault="00F770C1">
      <w:pPr>
        <w:spacing w:line="231" w:lineRule="exact"/>
        <w:jc w:val="right"/>
        <w:rPr>
          <w:sz w:val="20"/>
          <w:szCs w:val="20"/>
        </w:rPr>
        <w:sectPr w:rsidR="00F770C1">
          <w:type w:val="continuous"/>
          <w:pgSz w:w="11900" w:h="16838"/>
          <w:pgMar w:top="526" w:right="2420" w:bottom="474" w:left="720" w:header="0" w:footer="0" w:gutter="0"/>
          <w:cols w:num="2" w:space="720" w:equalWidth="0">
            <w:col w:w="1160" w:space="820"/>
            <w:col w:w="6780"/>
          </w:cols>
        </w:sectPr>
      </w:pPr>
      <w:r>
        <w:rPr>
          <w:sz w:val="20"/>
          <w:szCs w:val="20"/>
        </w:rPr>
        <w:pict>
          <v:line id="Shape 9" o:spid="_x0000_s1034" style="position:absolute;left:0;text-align:left;z-index:251661312;visibility:visible;mso-wrap-distance-left:0;mso-wrap-distance-right:0;mso-position-horizontal-relative:text;mso-position-vertical-relative:text" from="-99.65pt,7.15pt" to="427.7pt,7.15pt" o:allowincell="f" strokecolor="#0070c0"/>
        </w:pict>
      </w:r>
    </w:p>
    <w:p w:rsidR="00F770C1" w:rsidRDefault="00F770C1">
      <w:pPr>
        <w:spacing w:line="142" w:lineRule="exact"/>
        <w:rPr>
          <w:sz w:val="20"/>
          <w:szCs w:val="20"/>
        </w:rPr>
      </w:pPr>
    </w:p>
    <w:p w:rsidR="00F770C1" w:rsidRDefault="00C56791">
      <w:pPr>
        <w:tabs>
          <w:tab w:val="left" w:pos="1960"/>
          <w:tab w:val="left" w:pos="33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ADDITIONAL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595959"/>
          <w:sz w:val="18"/>
          <w:szCs w:val="18"/>
        </w:rPr>
        <w:t>Nationality: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8"/>
          <w:szCs w:val="18"/>
        </w:rPr>
        <w:t>Syrian</w:t>
      </w:r>
    </w:p>
    <w:p w:rsidR="00F770C1" w:rsidRDefault="00F770C1">
      <w:pPr>
        <w:spacing w:line="103" w:lineRule="exact"/>
        <w:rPr>
          <w:sz w:val="20"/>
          <w:szCs w:val="20"/>
        </w:rPr>
      </w:pPr>
    </w:p>
    <w:p w:rsidR="00F770C1" w:rsidRDefault="00C56791">
      <w:pPr>
        <w:tabs>
          <w:tab w:val="left" w:pos="3380"/>
        </w:tabs>
        <w:ind w:left="1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8"/>
          <w:szCs w:val="18"/>
        </w:rPr>
        <w:t>Languages: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8"/>
          <w:szCs w:val="18"/>
        </w:rPr>
        <w:t>Arabic (Native), English (Fluent)</w:t>
      </w:r>
    </w:p>
    <w:p w:rsidR="00F770C1" w:rsidRDefault="00C56791">
      <w:pPr>
        <w:tabs>
          <w:tab w:val="left" w:pos="3380"/>
        </w:tabs>
        <w:spacing w:line="238" w:lineRule="auto"/>
        <w:ind w:left="19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595959"/>
          <w:sz w:val="18"/>
          <w:szCs w:val="18"/>
        </w:rPr>
        <w:t>Licenses: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595959"/>
          <w:sz w:val="18"/>
          <w:szCs w:val="18"/>
        </w:rPr>
        <w:t>Full UAE Driving License</w:t>
      </w:r>
    </w:p>
    <w:p w:rsidR="00F770C1" w:rsidRDefault="00F770C1">
      <w:pPr>
        <w:spacing w:line="19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62336;visibility:visible;mso-wrap-distance-left:0;mso-wrap-distance-right:0" from="-.65pt,7.25pt" to="526.7pt,7.25pt" o:allowincell="f" strokecolor="#0070c0"/>
        </w:pict>
      </w:r>
    </w:p>
    <w:p w:rsidR="00F770C1" w:rsidRDefault="00C56791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70C0"/>
          <w:sz w:val="28"/>
          <w:szCs w:val="28"/>
        </w:rPr>
        <w:t>REFERENCES &amp; DESIGN PORTFOLIO AVAILABLE UPON REQUEST</w:t>
      </w:r>
    </w:p>
    <w:sectPr w:rsidR="00F770C1" w:rsidSect="00F770C1">
      <w:type w:val="continuous"/>
      <w:pgSz w:w="11900" w:h="16838"/>
      <w:pgMar w:top="526" w:right="3860" w:bottom="474" w:left="720" w:header="0" w:footer="0" w:gutter="0"/>
      <w:cols w:space="720" w:equalWidth="0">
        <w:col w:w="73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0854"/>
    <w:multiLevelType w:val="hybridMultilevel"/>
    <w:tmpl w:val="B4EE94B2"/>
    <w:lvl w:ilvl="0" w:tplc="D62879DC">
      <w:start w:val="1"/>
      <w:numFmt w:val="bullet"/>
      <w:lvlText w:val=""/>
      <w:lvlJc w:val="left"/>
    </w:lvl>
    <w:lvl w:ilvl="1" w:tplc="74347450">
      <w:numFmt w:val="decimal"/>
      <w:lvlText w:val=""/>
      <w:lvlJc w:val="left"/>
    </w:lvl>
    <w:lvl w:ilvl="2" w:tplc="A4BA19E0">
      <w:numFmt w:val="decimal"/>
      <w:lvlText w:val=""/>
      <w:lvlJc w:val="left"/>
    </w:lvl>
    <w:lvl w:ilvl="3" w:tplc="E88A76C8">
      <w:numFmt w:val="decimal"/>
      <w:lvlText w:val=""/>
      <w:lvlJc w:val="left"/>
    </w:lvl>
    <w:lvl w:ilvl="4" w:tplc="330CAA6E">
      <w:numFmt w:val="decimal"/>
      <w:lvlText w:val=""/>
      <w:lvlJc w:val="left"/>
    </w:lvl>
    <w:lvl w:ilvl="5" w:tplc="AEFC8CA2">
      <w:numFmt w:val="decimal"/>
      <w:lvlText w:val=""/>
      <w:lvlJc w:val="left"/>
    </w:lvl>
    <w:lvl w:ilvl="6" w:tplc="976EC95E">
      <w:numFmt w:val="decimal"/>
      <w:lvlText w:val=""/>
      <w:lvlJc w:val="left"/>
    </w:lvl>
    <w:lvl w:ilvl="7" w:tplc="9BCA1F1E">
      <w:numFmt w:val="decimal"/>
      <w:lvlText w:val=""/>
      <w:lvlJc w:val="left"/>
    </w:lvl>
    <w:lvl w:ilvl="8" w:tplc="0A3CF24E">
      <w:numFmt w:val="decimal"/>
      <w:lvlText w:val=""/>
      <w:lvlJc w:val="left"/>
    </w:lvl>
  </w:abstractNum>
  <w:abstractNum w:abstractNumId="1">
    <w:nsid w:val="2EB141F2"/>
    <w:multiLevelType w:val="hybridMultilevel"/>
    <w:tmpl w:val="7C4A8E92"/>
    <w:lvl w:ilvl="0" w:tplc="0C94D234">
      <w:start w:val="1"/>
      <w:numFmt w:val="bullet"/>
      <w:lvlText w:val=""/>
      <w:lvlJc w:val="left"/>
    </w:lvl>
    <w:lvl w:ilvl="1" w:tplc="93385DA8">
      <w:numFmt w:val="decimal"/>
      <w:lvlText w:val=""/>
      <w:lvlJc w:val="left"/>
    </w:lvl>
    <w:lvl w:ilvl="2" w:tplc="75EA0D90">
      <w:numFmt w:val="decimal"/>
      <w:lvlText w:val=""/>
      <w:lvlJc w:val="left"/>
    </w:lvl>
    <w:lvl w:ilvl="3" w:tplc="BD001FDA">
      <w:numFmt w:val="decimal"/>
      <w:lvlText w:val=""/>
      <w:lvlJc w:val="left"/>
    </w:lvl>
    <w:lvl w:ilvl="4" w:tplc="51EC46D2">
      <w:numFmt w:val="decimal"/>
      <w:lvlText w:val=""/>
      <w:lvlJc w:val="left"/>
    </w:lvl>
    <w:lvl w:ilvl="5" w:tplc="5412BAD4">
      <w:numFmt w:val="decimal"/>
      <w:lvlText w:val=""/>
      <w:lvlJc w:val="left"/>
    </w:lvl>
    <w:lvl w:ilvl="6" w:tplc="D4DED41A">
      <w:numFmt w:val="decimal"/>
      <w:lvlText w:val=""/>
      <w:lvlJc w:val="left"/>
    </w:lvl>
    <w:lvl w:ilvl="7" w:tplc="77E86F04">
      <w:numFmt w:val="decimal"/>
      <w:lvlText w:val=""/>
      <w:lvlJc w:val="left"/>
    </w:lvl>
    <w:lvl w:ilvl="8" w:tplc="73D29B26">
      <w:numFmt w:val="decimal"/>
      <w:lvlText w:val=""/>
      <w:lvlJc w:val="left"/>
    </w:lvl>
  </w:abstractNum>
  <w:abstractNum w:abstractNumId="2">
    <w:nsid w:val="3D1B58BA"/>
    <w:multiLevelType w:val="hybridMultilevel"/>
    <w:tmpl w:val="1334298C"/>
    <w:lvl w:ilvl="0" w:tplc="44DAB0A0">
      <w:start w:val="1"/>
      <w:numFmt w:val="bullet"/>
      <w:lvlText w:val=""/>
      <w:lvlJc w:val="left"/>
    </w:lvl>
    <w:lvl w:ilvl="1" w:tplc="85CEBFC6">
      <w:numFmt w:val="decimal"/>
      <w:lvlText w:val=""/>
      <w:lvlJc w:val="left"/>
    </w:lvl>
    <w:lvl w:ilvl="2" w:tplc="C7802904">
      <w:numFmt w:val="decimal"/>
      <w:lvlText w:val=""/>
      <w:lvlJc w:val="left"/>
    </w:lvl>
    <w:lvl w:ilvl="3" w:tplc="0206DA42">
      <w:numFmt w:val="decimal"/>
      <w:lvlText w:val=""/>
      <w:lvlJc w:val="left"/>
    </w:lvl>
    <w:lvl w:ilvl="4" w:tplc="C346D926">
      <w:numFmt w:val="decimal"/>
      <w:lvlText w:val=""/>
      <w:lvlJc w:val="left"/>
    </w:lvl>
    <w:lvl w:ilvl="5" w:tplc="13867C74">
      <w:numFmt w:val="decimal"/>
      <w:lvlText w:val=""/>
      <w:lvlJc w:val="left"/>
    </w:lvl>
    <w:lvl w:ilvl="6" w:tplc="135E5D6C">
      <w:numFmt w:val="decimal"/>
      <w:lvlText w:val=""/>
      <w:lvlJc w:val="left"/>
    </w:lvl>
    <w:lvl w:ilvl="7" w:tplc="8CD4159A">
      <w:numFmt w:val="decimal"/>
      <w:lvlText w:val=""/>
      <w:lvlJc w:val="left"/>
    </w:lvl>
    <w:lvl w:ilvl="8" w:tplc="F7FE8C4E">
      <w:numFmt w:val="decimal"/>
      <w:lvlText w:val=""/>
      <w:lvlJc w:val="left"/>
    </w:lvl>
  </w:abstractNum>
  <w:abstractNum w:abstractNumId="3">
    <w:nsid w:val="41B71EFB"/>
    <w:multiLevelType w:val="hybridMultilevel"/>
    <w:tmpl w:val="A6EA06DC"/>
    <w:lvl w:ilvl="0" w:tplc="926CAA94">
      <w:start w:val="1"/>
      <w:numFmt w:val="bullet"/>
      <w:lvlText w:val=""/>
      <w:lvlJc w:val="left"/>
    </w:lvl>
    <w:lvl w:ilvl="1" w:tplc="7FFC6872">
      <w:numFmt w:val="decimal"/>
      <w:lvlText w:val=""/>
      <w:lvlJc w:val="left"/>
    </w:lvl>
    <w:lvl w:ilvl="2" w:tplc="77602B0A">
      <w:numFmt w:val="decimal"/>
      <w:lvlText w:val=""/>
      <w:lvlJc w:val="left"/>
    </w:lvl>
    <w:lvl w:ilvl="3" w:tplc="79B82A6C">
      <w:numFmt w:val="decimal"/>
      <w:lvlText w:val=""/>
      <w:lvlJc w:val="left"/>
    </w:lvl>
    <w:lvl w:ilvl="4" w:tplc="D25A4F48">
      <w:numFmt w:val="decimal"/>
      <w:lvlText w:val=""/>
      <w:lvlJc w:val="left"/>
    </w:lvl>
    <w:lvl w:ilvl="5" w:tplc="D4044234">
      <w:numFmt w:val="decimal"/>
      <w:lvlText w:val=""/>
      <w:lvlJc w:val="left"/>
    </w:lvl>
    <w:lvl w:ilvl="6" w:tplc="367A396C">
      <w:numFmt w:val="decimal"/>
      <w:lvlText w:val=""/>
      <w:lvlJc w:val="left"/>
    </w:lvl>
    <w:lvl w:ilvl="7" w:tplc="52805B14">
      <w:numFmt w:val="decimal"/>
      <w:lvlText w:val=""/>
      <w:lvlJc w:val="left"/>
    </w:lvl>
    <w:lvl w:ilvl="8" w:tplc="78AE3EE0">
      <w:numFmt w:val="decimal"/>
      <w:lvlText w:val=""/>
      <w:lvlJc w:val="left"/>
    </w:lvl>
  </w:abstractNum>
  <w:abstractNum w:abstractNumId="4">
    <w:nsid w:val="4DB127F8"/>
    <w:multiLevelType w:val="hybridMultilevel"/>
    <w:tmpl w:val="439068B0"/>
    <w:lvl w:ilvl="0" w:tplc="83D865A6">
      <w:start w:val="1"/>
      <w:numFmt w:val="bullet"/>
      <w:lvlText w:val=""/>
      <w:lvlJc w:val="left"/>
    </w:lvl>
    <w:lvl w:ilvl="1" w:tplc="1B061FA6">
      <w:numFmt w:val="decimal"/>
      <w:lvlText w:val=""/>
      <w:lvlJc w:val="left"/>
    </w:lvl>
    <w:lvl w:ilvl="2" w:tplc="918E6476">
      <w:numFmt w:val="decimal"/>
      <w:lvlText w:val=""/>
      <w:lvlJc w:val="left"/>
    </w:lvl>
    <w:lvl w:ilvl="3" w:tplc="829ABB5C">
      <w:numFmt w:val="decimal"/>
      <w:lvlText w:val=""/>
      <w:lvlJc w:val="left"/>
    </w:lvl>
    <w:lvl w:ilvl="4" w:tplc="3A4AB442">
      <w:numFmt w:val="decimal"/>
      <w:lvlText w:val=""/>
      <w:lvlJc w:val="left"/>
    </w:lvl>
    <w:lvl w:ilvl="5" w:tplc="C096B3EE">
      <w:numFmt w:val="decimal"/>
      <w:lvlText w:val=""/>
      <w:lvlJc w:val="left"/>
    </w:lvl>
    <w:lvl w:ilvl="6" w:tplc="4D343170">
      <w:numFmt w:val="decimal"/>
      <w:lvlText w:val=""/>
      <w:lvlJc w:val="left"/>
    </w:lvl>
    <w:lvl w:ilvl="7" w:tplc="F5520A32">
      <w:numFmt w:val="decimal"/>
      <w:lvlText w:val=""/>
      <w:lvlJc w:val="left"/>
    </w:lvl>
    <w:lvl w:ilvl="8" w:tplc="6A0E21C2">
      <w:numFmt w:val="decimal"/>
      <w:lvlText w:val=""/>
      <w:lvlJc w:val="left"/>
    </w:lvl>
  </w:abstractNum>
  <w:abstractNum w:abstractNumId="5">
    <w:nsid w:val="507ED7AB"/>
    <w:multiLevelType w:val="hybridMultilevel"/>
    <w:tmpl w:val="19C2AC22"/>
    <w:lvl w:ilvl="0" w:tplc="48BA784E">
      <w:start w:val="1"/>
      <w:numFmt w:val="bullet"/>
      <w:lvlText w:val=""/>
      <w:lvlJc w:val="left"/>
    </w:lvl>
    <w:lvl w:ilvl="1" w:tplc="CD92D254">
      <w:numFmt w:val="decimal"/>
      <w:lvlText w:val=""/>
      <w:lvlJc w:val="left"/>
    </w:lvl>
    <w:lvl w:ilvl="2" w:tplc="77D6DC7A">
      <w:numFmt w:val="decimal"/>
      <w:lvlText w:val=""/>
      <w:lvlJc w:val="left"/>
    </w:lvl>
    <w:lvl w:ilvl="3" w:tplc="F5542EF4">
      <w:numFmt w:val="decimal"/>
      <w:lvlText w:val=""/>
      <w:lvlJc w:val="left"/>
    </w:lvl>
    <w:lvl w:ilvl="4" w:tplc="A15018DE">
      <w:numFmt w:val="decimal"/>
      <w:lvlText w:val=""/>
      <w:lvlJc w:val="left"/>
    </w:lvl>
    <w:lvl w:ilvl="5" w:tplc="3C388BB2">
      <w:numFmt w:val="decimal"/>
      <w:lvlText w:val=""/>
      <w:lvlJc w:val="left"/>
    </w:lvl>
    <w:lvl w:ilvl="6" w:tplc="A46421FA">
      <w:numFmt w:val="decimal"/>
      <w:lvlText w:val=""/>
      <w:lvlJc w:val="left"/>
    </w:lvl>
    <w:lvl w:ilvl="7" w:tplc="F7D06B1A">
      <w:numFmt w:val="decimal"/>
      <w:lvlText w:val=""/>
      <w:lvlJc w:val="left"/>
    </w:lvl>
    <w:lvl w:ilvl="8" w:tplc="54B05118">
      <w:numFmt w:val="decimal"/>
      <w:lvlText w:val=""/>
      <w:lvlJc w:val="left"/>
    </w:lvl>
  </w:abstractNum>
  <w:abstractNum w:abstractNumId="6">
    <w:nsid w:val="515F007C"/>
    <w:multiLevelType w:val="hybridMultilevel"/>
    <w:tmpl w:val="EEA4AF4A"/>
    <w:lvl w:ilvl="0" w:tplc="2DC08832">
      <w:start w:val="1"/>
      <w:numFmt w:val="bullet"/>
      <w:lvlText w:val=""/>
      <w:lvlJc w:val="left"/>
    </w:lvl>
    <w:lvl w:ilvl="1" w:tplc="87B2409C">
      <w:numFmt w:val="decimal"/>
      <w:lvlText w:val=""/>
      <w:lvlJc w:val="left"/>
    </w:lvl>
    <w:lvl w:ilvl="2" w:tplc="1708F11C">
      <w:numFmt w:val="decimal"/>
      <w:lvlText w:val=""/>
      <w:lvlJc w:val="left"/>
    </w:lvl>
    <w:lvl w:ilvl="3" w:tplc="57FCD592">
      <w:numFmt w:val="decimal"/>
      <w:lvlText w:val=""/>
      <w:lvlJc w:val="left"/>
    </w:lvl>
    <w:lvl w:ilvl="4" w:tplc="C128ADA0">
      <w:numFmt w:val="decimal"/>
      <w:lvlText w:val=""/>
      <w:lvlJc w:val="left"/>
    </w:lvl>
    <w:lvl w:ilvl="5" w:tplc="6A5CC16A">
      <w:numFmt w:val="decimal"/>
      <w:lvlText w:val=""/>
      <w:lvlJc w:val="left"/>
    </w:lvl>
    <w:lvl w:ilvl="6" w:tplc="A8BCE3DC">
      <w:numFmt w:val="decimal"/>
      <w:lvlText w:val=""/>
      <w:lvlJc w:val="left"/>
    </w:lvl>
    <w:lvl w:ilvl="7" w:tplc="F0DA7976">
      <w:numFmt w:val="decimal"/>
      <w:lvlText w:val=""/>
      <w:lvlJc w:val="left"/>
    </w:lvl>
    <w:lvl w:ilvl="8" w:tplc="1DD6EED2">
      <w:numFmt w:val="decimal"/>
      <w:lvlText w:val=""/>
      <w:lvlJc w:val="left"/>
    </w:lvl>
  </w:abstractNum>
  <w:abstractNum w:abstractNumId="7">
    <w:nsid w:val="5BD062C2"/>
    <w:multiLevelType w:val="hybridMultilevel"/>
    <w:tmpl w:val="A81E13BA"/>
    <w:lvl w:ilvl="0" w:tplc="421C8AAE">
      <w:start w:val="1"/>
      <w:numFmt w:val="bullet"/>
      <w:lvlText w:val=""/>
      <w:lvlJc w:val="left"/>
    </w:lvl>
    <w:lvl w:ilvl="1" w:tplc="D93212D4">
      <w:numFmt w:val="decimal"/>
      <w:lvlText w:val=""/>
      <w:lvlJc w:val="left"/>
    </w:lvl>
    <w:lvl w:ilvl="2" w:tplc="ACF0273C">
      <w:numFmt w:val="decimal"/>
      <w:lvlText w:val=""/>
      <w:lvlJc w:val="left"/>
    </w:lvl>
    <w:lvl w:ilvl="3" w:tplc="B5B204CC">
      <w:numFmt w:val="decimal"/>
      <w:lvlText w:val=""/>
      <w:lvlJc w:val="left"/>
    </w:lvl>
    <w:lvl w:ilvl="4" w:tplc="4594A7E6">
      <w:numFmt w:val="decimal"/>
      <w:lvlText w:val=""/>
      <w:lvlJc w:val="left"/>
    </w:lvl>
    <w:lvl w:ilvl="5" w:tplc="B846E986">
      <w:numFmt w:val="decimal"/>
      <w:lvlText w:val=""/>
      <w:lvlJc w:val="left"/>
    </w:lvl>
    <w:lvl w:ilvl="6" w:tplc="6FA46C3A">
      <w:numFmt w:val="decimal"/>
      <w:lvlText w:val=""/>
      <w:lvlJc w:val="left"/>
    </w:lvl>
    <w:lvl w:ilvl="7" w:tplc="4E0EF6CA">
      <w:numFmt w:val="decimal"/>
      <w:lvlText w:val=""/>
      <w:lvlJc w:val="left"/>
    </w:lvl>
    <w:lvl w:ilvl="8" w:tplc="6C4E4BC8">
      <w:numFmt w:val="decimal"/>
      <w:lvlText w:val=""/>
      <w:lvlJc w:val="left"/>
    </w:lvl>
  </w:abstractNum>
  <w:abstractNum w:abstractNumId="8">
    <w:nsid w:val="7545E146"/>
    <w:multiLevelType w:val="hybridMultilevel"/>
    <w:tmpl w:val="84DEA4DA"/>
    <w:lvl w:ilvl="0" w:tplc="B42C9642">
      <w:start w:val="1"/>
      <w:numFmt w:val="bullet"/>
      <w:lvlText w:val=""/>
      <w:lvlJc w:val="left"/>
    </w:lvl>
    <w:lvl w:ilvl="1" w:tplc="FBBCE0B8">
      <w:numFmt w:val="decimal"/>
      <w:lvlText w:val=""/>
      <w:lvlJc w:val="left"/>
    </w:lvl>
    <w:lvl w:ilvl="2" w:tplc="9E7C82C2">
      <w:numFmt w:val="decimal"/>
      <w:lvlText w:val=""/>
      <w:lvlJc w:val="left"/>
    </w:lvl>
    <w:lvl w:ilvl="3" w:tplc="DCECE620">
      <w:numFmt w:val="decimal"/>
      <w:lvlText w:val=""/>
      <w:lvlJc w:val="left"/>
    </w:lvl>
    <w:lvl w:ilvl="4" w:tplc="DE8087FA">
      <w:numFmt w:val="decimal"/>
      <w:lvlText w:val=""/>
      <w:lvlJc w:val="left"/>
    </w:lvl>
    <w:lvl w:ilvl="5" w:tplc="1E1A3E48">
      <w:numFmt w:val="decimal"/>
      <w:lvlText w:val=""/>
      <w:lvlJc w:val="left"/>
    </w:lvl>
    <w:lvl w:ilvl="6" w:tplc="BC405D4A">
      <w:numFmt w:val="decimal"/>
      <w:lvlText w:val=""/>
      <w:lvlJc w:val="left"/>
    </w:lvl>
    <w:lvl w:ilvl="7" w:tplc="74685818">
      <w:numFmt w:val="decimal"/>
      <w:lvlText w:val=""/>
      <w:lvlJc w:val="left"/>
    </w:lvl>
    <w:lvl w:ilvl="8" w:tplc="1E3657CE">
      <w:numFmt w:val="decimal"/>
      <w:lvlText w:val=""/>
      <w:lvlJc w:val="left"/>
    </w:lvl>
  </w:abstractNum>
  <w:abstractNum w:abstractNumId="9">
    <w:nsid w:val="79E2A9E3"/>
    <w:multiLevelType w:val="hybridMultilevel"/>
    <w:tmpl w:val="ACDC22A2"/>
    <w:lvl w:ilvl="0" w:tplc="2196CBC2">
      <w:start w:val="1"/>
      <w:numFmt w:val="bullet"/>
      <w:lvlText w:val=""/>
      <w:lvlJc w:val="left"/>
    </w:lvl>
    <w:lvl w:ilvl="1" w:tplc="545E188E">
      <w:numFmt w:val="decimal"/>
      <w:lvlText w:val=""/>
      <w:lvlJc w:val="left"/>
    </w:lvl>
    <w:lvl w:ilvl="2" w:tplc="568CA1BE">
      <w:numFmt w:val="decimal"/>
      <w:lvlText w:val=""/>
      <w:lvlJc w:val="left"/>
    </w:lvl>
    <w:lvl w:ilvl="3" w:tplc="73CA74D2">
      <w:numFmt w:val="decimal"/>
      <w:lvlText w:val=""/>
      <w:lvlJc w:val="left"/>
    </w:lvl>
    <w:lvl w:ilvl="4" w:tplc="06368DB0">
      <w:numFmt w:val="decimal"/>
      <w:lvlText w:val=""/>
      <w:lvlJc w:val="left"/>
    </w:lvl>
    <w:lvl w:ilvl="5" w:tplc="29B0C0CC">
      <w:numFmt w:val="decimal"/>
      <w:lvlText w:val=""/>
      <w:lvlJc w:val="left"/>
    </w:lvl>
    <w:lvl w:ilvl="6" w:tplc="078AAF64">
      <w:numFmt w:val="decimal"/>
      <w:lvlText w:val=""/>
      <w:lvlJc w:val="left"/>
    </w:lvl>
    <w:lvl w:ilvl="7" w:tplc="13E8F28E">
      <w:numFmt w:val="decimal"/>
      <w:lvlText w:val=""/>
      <w:lvlJc w:val="left"/>
    </w:lvl>
    <w:lvl w:ilvl="8" w:tplc="D91CA2D0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770C1"/>
    <w:rsid w:val="00C56791"/>
    <w:rsid w:val="00F77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SEL.3610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2017-05-28T09:56:00Z</dcterms:created>
  <dcterms:modified xsi:type="dcterms:W3CDTF">2017-05-28T07:57:00Z</dcterms:modified>
</cp:coreProperties>
</file>