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4DF2D" w14:textId="77777777" w:rsidR="008D0C01" w:rsidRDefault="00EF794C" w:rsidP="003D47B9">
      <w:pPr>
        <w:pStyle w:val="Name"/>
        <w:jc w:val="both"/>
      </w:pPr>
      <w:r>
        <w:t>Ada</w:t>
      </w:r>
    </w:p>
    <w:p w14:paraId="6F7D9FBC" w14:textId="2962180E" w:rsidR="00EE5B57" w:rsidRPr="008D0C01" w:rsidRDefault="008D0C01" w:rsidP="003D47B9">
      <w:pPr>
        <w:pStyle w:val="Name"/>
        <w:jc w:val="both"/>
      </w:pPr>
      <w:hyperlink r:id="rId8" w:history="1">
        <w:r w:rsidRPr="008D0C01">
          <w:rPr>
            <w:rStyle w:val="Hyperlink"/>
            <w:color w:val="FFFFFF" w:themeColor="background1"/>
          </w:rPr>
          <w:t>Ada.366819@2freemail.com</w:t>
        </w:r>
      </w:hyperlink>
      <w:r w:rsidRPr="008D0C01">
        <w:t xml:space="preserve"> </w:t>
      </w:r>
      <w:r w:rsidR="00EF794C" w:rsidRPr="008D0C01">
        <w:t xml:space="preserve"> </w:t>
      </w:r>
      <w:r w:rsidRPr="008D0C01">
        <w:t xml:space="preserve"> </w:t>
      </w:r>
      <w:r w:rsidR="002D6C53" w:rsidRPr="008D0C01">
        <w:t xml:space="preserve"> </w:t>
      </w:r>
    </w:p>
    <w:tbl>
      <w:tblPr>
        <w:tblStyle w:val="ResumeTable"/>
        <w:tblW w:w="5000" w:type="pct"/>
        <w:tblLook w:val="04A0" w:firstRow="1" w:lastRow="0" w:firstColumn="1" w:lastColumn="0" w:noHBand="0" w:noVBand="1"/>
        <w:tblCaption w:val="Resume layout table"/>
      </w:tblPr>
      <w:tblGrid>
        <w:gridCol w:w="2250"/>
        <w:gridCol w:w="7830"/>
      </w:tblGrid>
      <w:tr w:rsidR="00EE5B57" w14:paraId="1F291735" w14:textId="77777777">
        <w:tc>
          <w:tcPr>
            <w:tcW w:w="2250" w:type="dxa"/>
            <w:tcMar>
              <w:right w:w="475" w:type="dxa"/>
            </w:tcMar>
          </w:tcPr>
          <w:p w14:paraId="4165F1AC" w14:textId="77777777" w:rsidR="00EE5B57" w:rsidRDefault="00D36FF3" w:rsidP="003D47B9">
            <w:pPr>
              <w:pStyle w:val="Heading1"/>
              <w:jc w:val="both"/>
              <w:outlineLvl w:val="0"/>
            </w:pPr>
            <w:r>
              <w:t>Objective</w:t>
            </w:r>
          </w:p>
        </w:tc>
        <w:tc>
          <w:tcPr>
            <w:tcW w:w="7830" w:type="dxa"/>
          </w:tcPr>
          <w:p w14:paraId="7EF52F6B" w14:textId="454D9153" w:rsidR="00EE5B57" w:rsidRDefault="004F4DC3" w:rsidP="00000CC1">
            <w:pPr>
              <w:pStyle w:val="ResumeText"/>
              <w:jc w:val="both"/>
            </w:pPr>
            <w:r>
              <w:t>To execute</w:t>
            </w:r>
            <w:r w:rsidR="002A7E16">
              <w:t xml:space="preserve"> highest quality customer service and perform</w:t>
            </w:r>
            <w:r>
              <w:t xml:space="preserve"> </w:t>
            </w:r>
            <w:r w:rsidR="002A7E16">
              <w:t>utmost</w:t>
            </w:r>
            <w:r w:rsidR="00000CC1">
              <w:t xml:space="preserve"> workmanship</w:t>
            </w:r>
            <w:r w:rsidR="002A7E16">
              <w:t xml:space="preserve"> towards achieving the company’s vision and mission</w:t>
            </w:r>
          </w:p>
        </w:tc>
      </w:tr>
      <w:tr w:rsidR="00EE5B57" w14:paraId="16F4408D" w14:textId="77777777">
        <w:tc>
          <w:tcPr>
            <w:tcW w:w="2250" w:type="dxa"/>
            <w:tcMar>
              <w:right w:w="475" w:type="dxa"/>
            </w:tcMar>
          </w:tcPr>
          <w:p w14:paraId="368DD66E" w14:textId="77777777" w:rsidR="0034638F" w:rsidRDefault="002A7E16" w:rsidP="00FF23DD">
            <w:pPr>
              <w:pStyle w:val="Heading1"/>
              <w:jc w:val="both"/>
              <w:outlineLvl w:val="0"/>
            </w:pPr>
            <w:r>
              <w:t>skills &amp; abilities</w:t>
            </w:r>
          </w:p>
          <w:p w14:paraId="04092574" w14:textId="77777777" w:rsidR="0034638F" w:rsidRDefault="0034638F" w:rsidP="00FF23DD">
            <w:pPr>
              <w:pStyle w:val="Heading1"/>
              <w:jc w:val="both"/>
              <w:outlineLvl w:val="0"/>
            </w:pPr>
          </w:p>
          <w:p w14:paraId="6DEE8112" w14:textId="77777777" w:rsidR="0034638F" w:rsidRDefault="0034638F" w:rsidP="00FF23DD">
            <w:pPr>
              <w:pStyle w:val="Heading1"/>
              <w:jc w:val="both"/>
              <w:outlineLvl w:val="0"/>
            </w:pPr>
          </w:p>
          <w:p w14:paraId="71DA76A3" w14:textId="77777777" w:rsidR="0034638F" w:rsidRDefault="0034638F" w:rsidP="00FF23DD">
            <w:pPr>
              <w:pStyle w:val="Heading1"/>
              <w:jc w:val="both"/>
              <w:outlineLvl w:val="0"/>
            </w:pPr>
          </w:p>
          <w:p w14:paraId="65064904" w14:textId="77777777" w:rsidR="0034638F" w:rsidRDefault="0034638F" w:rsidP="00FF23DD">
            <w:pPr>
              <w:pStyle w:val="Heading1"/>
              <w:jc w:val="both"/>
              <w:outlineLvl w:val="0"/>
            </w:pPr>
          </w:p>
          <w:p w14:paraId="3D2C1DC2" w14:textId="77777777" w:rsidR="0034638F" w:rsidRDefault="0034638F" w:rsidP="00FF23DD">
            <w:pPr>
              <w:pStyle w:val="Heading1"/>
              <w:jc w:val="both"/>
              <w:outlineLvl w:val="0"/>
            </w:pPr>
          </w:p>
          <w:p w14:paraId="462EE64F" w14:textId="77777777" w:rsidR="009C79F1" w:rsidRDefault="009C79F1" w:rsidP="00FF23DD">
            <w:pPr>
              <w:pStyle w:val="Heading1"/>
              <w:jc w:val="both"/>
              <w:outlineLvl w:val="0"/>
            </w:pPr>
          </w:p>
          <w:p w14:paraId="10463F24" w14:textId="77777777" w:rsidR="009C79F1" w:rsidRDefault="009C79F1" w:rsidP="00FF23DD">
            <w:pPr>
              <w:pStyle w:val="Heading1"/>
              <w:jc w:val="both"/>
              <w:outlineLvl w:val="0"/>
            </w:pPr>
          </w:p>
          <w:p w14:paraId="6205BC37" w14:textId="7A680808" w:rsidR="00FF23DD" w:rsidRDefault="00FF23DD" w:rsidP="00FF23DD">
            <w:pPr>
              <w:pStyle w:val="Heading1"/>
              <w:jc w:val="both"/>
              <w:outlineLvl w:val="0"/>
            </w:pPr>
            <w:r>
              <w:t>career summary</w:t>
            </w:r>
          </w:p>
          <w:p w14:paraId="066BFF22" w14:textId="716228F3" w:rsidR="00FF23DD" w:rsidRDefault="00FF23DD" w:rsidP="003D47B9">
            <w:pPr>
              <w:pStyle w:val="Heading1"/>
              <w:jc w:val="both"/>
              <w:outlineLvl w:val="0"/>
            </w:pPr>
          </w:p>
        </w:tc>
        <w:tc>
          <w:tcPr>
            <w:tcW w:w="7830" w:type="dxa"/>
          </w:tcPr>
          <w:p w14:paraId="05C11AF6" w14:textId="77777777" w:rsidR="002A7E16" w:rsidRDefault="002A7E16" w:rsidP="00E413F4">
            <w:pPr>
              <w:pStyle w:val="ResumeText"/>
              <w:numPr>
                <w:ilvl w:val="0"/>
                <w:numId w:val="7"/>
              </w:numPr>
              <w:jc w:val="both"/>
            </w:pPr>
            <w:r>
              <w:t>Results-oriented</w:t>
            </w:r>
          </w:p>
          <w:p w14:paraId="11127355" w14:textId="232CAFC0" w:rsidR="00FF23DD" w:rsidRDefault="009C79F1" w:rsidP="00E413F4">
            <w:pPr>
              <w:pStyle w:val="ResumeText"/>
              <w:numPr>
                <w:ilvl w:val="0"/>
                <w:numId w:val="7"/>
              </w:numPr>
              <w:jc w:val="both"/>
            </w:pPr>
            <w:r>
              <w:t>HACCP program formulation</w:t>
            </w:r>
            <w:r w:rsidR="00FF23DD">
              <w:t xml:space="preserve"> – fish and fishery products</w:t>
            </w:r>
          </w:p>
          <w:p w14:paraId="29ECFEB7" w14:textId="77777777" w:rsidR="00FF23DD" w:rsidRDefault="00FF23DD" w:rsidP="00E413F4">
            <w:pPr>
              <w:pStyle w:val="ResumeText"/>
              <w:numPr>
                <w:ilvl w:val="0"/>
                <w:numId w:val="7"/>
              </w:numPr>
              <w:jc w:val="both"/>
            </w:pPr>
            <w:r>
              <w:t>Research and documentation on food safety, food security, sustainability</w:t>
            </w:r>
          </w:p>
          <w:p w14:paraId="03F48BA6" w14:textId="78ED99B1" w:rsidR="00FF23DD" w:rsidRDefault="00FF23DD" w:rsidP="00E413F4">
            <w:pPr>
              <w:pStyle w:val="ResumeText"/>
              <w:numPr>
                <w:ilvl w:val="0"/>
                <w:numId w:val="7"/>
              </w:numPr>
              <w:jc w:val="both"/>
            </w:pPr>
            <w:r>
              <w:t>Total quality management (TQM) on food safety operations, supply chain and retail distribution</w:t>
            </w:r>
          </w:p>
          <w:p w14:paraId="17993879" w14:textId="77777777" w:rsidR="009C79F1" w:rsidRDefault="009C79F1" w:rsidP="009C79F1">
            <w:pPr>
              <w:pStyle w:val="ResumeText"/>
              <w:numPr>
                <w:ilvl w:val="0"/>
                <w:numId w:val="7"/>
              </w:numPr>
              <w:jc w:val="both"/>
            </w:pPr>
            <w:r>
              <w:t>People management</w:t>
            </w:r>
          </w:p>
          <w:p w14:paraId="6C183C6B" w14:textId="77777777" w:rsidR="009C79F1" w:rsidRDefault="009C79F1" w:rsidP="009C79F1">
            <w:pPr>
              <w:pStyle w:val="ResumeText"/>
              <w:numPr>
                <w:ilvl w:val="0"/>
                <w:numId w:val="7"/>
              </w:numPr>
              <w:jc w:val="both"/>
            </w:pPr>
            <w:r>
              <w:t>Operational support skills</w:t>
            </w:r>
          </w:p>
          <w:p w14:paraId="78D2B321" w14:textId="77777777" w:rsidR="009C79F1" w:rsidRDefault="009C79F1" w:rsidP="009C79F1">
            <w:pPr>
              <w:pStyle w:val="ResumeText"/>
              <w:numPr>
                <w:ilvl w:val="0"/>
                <w:numId w:val="7"/>
              </w:numPr>
              <w:jc w:val="both"/>
            </w:pPr>
            <w:r>
              <w:t>Administrative functions and skills</w:t>
            </w:r>
          </w:p>
          <w:p w14:paraId="323A04D1" w14:textId="583CE31D" w:rsidR="008261D8" w:rsidRDefault="008261D8" w:rsidP="00E413F4">
            <w:pPr>
              <w:pStyle w:val="ResumeText"/>
              <w:numPr>
                <w:ilvl w:val="0"/>
                <w:numId w:val="7"/>
              </w:numPr>
              <w:jc w:val="both"/>
            </w:pPr>
            <w:r>
              <w:t xml:space="preserve">17 years of work experience in various fields of food safety audit, regulatory, </w:t>
            </w:r>
            <w:r w:rsidR="00604D71">
              <w:t>training,</w:t>
            </w:r>
            <w:r>
              <w:t xml:space="preserve">, project management and quality management system </w:t>
            </w:r>
          </w:p>
          <w:p w14:paraId="10689ABC" w14:textId="4BBB9E96" w:rsidR="008261D8" w:rsidRDefault="008261D8" w:rsidP="008261D8">
            <w:pPr>
              <w:pStyle w:val="ResumeText"/>
              <w:numPr>
                <w:ilvl w:val="1"/>
                <w:numId w:val="1"/>
              </w:numPr>
              <w:jc w:val="both"/>
            </w:pPr>
            <w:r>
              <w:t xml:space="preserve">Regulatory functions. </w:t>
            </w:r>
            <w:r w:rsidR="00142B5D">
              <w:t>Competent Authority in fish inspection, food safety verification, approval of food safety (HACCP) system</w:t>
            </w:r>
          </w:p>
          <w:p w14:paraId="46D1D0B5" w14:textId="13D0B719" w:rsidR="00D67DAD" w:rsidRDefault="00B83DCF" w:rsidP="008261D8">
            <w:pPr>
              <w:pStyle w:val="ResumeText"/>
              <w:numPr>
                <w:ilvl w:val="1"/>
                <w:numId w:val="1"/>
              </w:numPr>
              <w:jc w:val="both"/>
            </w:pPr>
            <w:r>
              <w:t>Trainer</w:t>
            </w:r>
            <w:r w:rsidR="001F5264">
              <w:t xml:space="preserve"> </w:t>
            </w:r>
            <w:r w:rsidR="00DD5A17">
              <w:t>and</w:t>
            </w:r>
            <w:r w:rsidR="001F5264">
              <w:t xml:space="preserve"> </w:t>
            </w:r>
            <w:r w:rsidR="00DD5A17">
              <w:t>I</w:t>
            </w:r>
            <w:r w:rsidR="001F5264">
              <w:t xml:space="preserve">nfluencer. </w:t>
            </w:r>
            <w:r w:rsidR="00041182">
              <w:t xml:space="preserve">Ability to </w:t>
            </w:r>
            <w:r w:rsidR="0031148F">
              <w:t>elaborate</w:t>
            </w:r>
            <w:r w:rsidR="00041182">
              <w:t xml:space="preserve"> and simplify </w:t>
            </w:r>
            <w:r w:rsidR="00B74C38">
              <w:t xml:space="preserve">policies and regulation </w:t>
            </w:r>
            <w:r w:rsidR="00D45F44">
              <w:t>pertaining to food security, food safety, global postharv</w:t>
            </w:r>
            <w:r w:rsidR="00227C17">
              <w:t>est losses and quality control.</w:t>
            </w:r>
          </w:p>
          <w:p w14:paraId="69AFB91A" w14:textId="2DAA5EEE" w:rsidR="00B4720D" w:rsidRDefault="001F5264" w:rsidP="008261D8">
            <w:pPr>
              <w:pStyle w:val="ResumeText"/>
              <w:numPr>
                <w:ilvl w:val="1"/>
                <w:numId w:val="1"/>
              </w:numPr>
              <w:jc w:val="both"/>
            </w:pPr>
            <w:r>
              <w:t xml:space="preserve">Auditor. </w:t>
            </w:r>
            <w:r w:rsidR="00C235C2">
              <w:t xml:space="preserve">Ability to audit </w:t>
            </w:r>
            <w:r w:rsidR="006734FC">
              <w:t>compliance</w:t>
            </w:r>
            <w:r w:rsidR="003F61BF">
              <w:t xml:space="preserve"> of food business</w:t>
            </w:r>
            <w:r w:rsidR="00362DA1">
              <w:t xml:space="preserve"> </w:t>
            </w:r>
            <w:r w:rsidR="00C10230">
              <w:t>a</w:t>
            </w:r>
            <w:r w:rsidR="00362DA1">
              <w:t>c</w:t>
            </w:r>
            <w:r w:rsidR="00C10230">
              <w:t>cording</w:t>
            </w:r>
            <w:r w:rsidR="006734FC">
              <w:t xml:space="preserve"> to the food safety requirement</w:t>
            </w:r>
            <w:r w:rsidR="00C10230">
              <w:t>s</w:t>
            </w:r>
          </w:p>
          <w:p w14:paraId="7A407848" w14:textId="53CAC7DE" w:rsidR="00EE5B57" w:rsidRDefault="001F5264" w:rsidP="008261D8">
            <w:pPr>
              <w:pStyle w:val="ResumeText"/>
              <w:numPr>
                <w:ilvl w:val="1"/>
                <w:numId w:val="1"/>
              </w:numPr>
              <w:jc w:val="both"/>
            </w:pPr>
            <w:r>
              <w:t xml:space="preserve">Key player. </w:t>
            </w:r>
            <w:r w:rsidR="00D67DAD">
              <w:t xml:space="preserve">Experienced in development </w:t>
            </w:r>
            <w:r w:rsidR="001708A1">
              <w:t xml:space="preserve">project management </w:t>
            </w:r>
            <w:r w:rsidR="00D67DAD">
              <w:t>for community organizing, recovery and relief/rehabilitation programs</w:t>
            </w:r>
            <w:r w:rsidR="007C042D">
              <w:t>. W</w:t>
            </w:r>
            <w:r w:rsidR="00642AC0">
              <w:t>o</w:t>
            </w:r>
            <w:r w:rsidR="007C042D">
              <w:t xml:space="preserve">rked </w:t>
            </w:r>
            <w:r w:rsidR="00642AC0">
              <w:t>with UNFAO and non-profit organizations.</w:t>
            </w:r>
          </w:p>
          <w:p w14:paraId="0337E23B" w14:textId="0B9F1385" w:rsidR="00691DEF" w:rsidRDefault="00691DEF" w:rsidP="008261D8">
            <w:pPr>
              <w:pStyle w:val="ResumeText"/>
              <w:numPr>
                <w:ilvl w:val="1"/>
                <w:numId w:val="1"/>
              </w:numPr>
              <w:jc w:val="both"/>
            </w:pPr>
            <w:r>
              <w:t>UAE Experience. Improvement and enhancement of food safety program as required by a manufacturing company</w:t>
            </w:r>
            <w:r w:rsidR="00E22EB1">
              <w:t xml:space="preserve"> based on GAP Analysis Report</w:t>
            </w:r>
          </w:p>
          <w:p w14:paraId="16535BC5" w14:textId="762051A1" w:rsidR="00E814A7" w:rsidRDefault="008261D8" w:rsidP="008261D8">
            <w:pPr>
              <w:pStyle w:val="ResumeText"/>
              <w:numPr>
                <w:ilvl w:val="0"/>
                <w:numId w:val="1"/>
              </w:numPr>
              <w:jc w:val="both"/>
            </w:pPr>
            <w:r>
              <w:t xml:space="preserve">Provisional Auditor – IRCA Member (International Register of Certified Auditors) for Food </w:t>
            </w:r>
            <w:r w:rsidR="00FF23DD">
              <w:t>Safety Management System (FSMS), Food Safety Scheme Certification (FSSC 22000)</w:t>
            </w:r>
          </w:p>
        </w:tc>
      </w:tr>
      <w:tr w:rsidR="00EE5B57" w14:paraId="3433A44B" w14:textId="77777777">
        <w:tc>
          <w:tcPr>
            <w:tcW w:w="2250" w:type="dxa"/>
            <w:tcMar>
              <w:right w:w="475" w:type="dxa"/>
            </w:tcMar>
          </w:tcPr>
          <w:p w14:paraId="335D2C9A" w14:textId="4E0100E1" w:rsidR="00EE5B57" w:rsidRDefault="00E814A7" w:rsidP="003D47B9">
            <w:pPr>
              <w:pStyle w:val="Heading1"/>
              <w:jc w:val="both"/>
              <w:outlineLvl w:val="0"/>
            </w:pPr>
            <w:r>
              <w:t xml:space="preserve">work </w:t>
            </w:r>
            <w:r w:rsidR="00D36FF3">
              <w:t>Experience</w:t>
            </w:r>
          </w:p>
        </w:tc>
        <w:tc>
          <w:tcPr>
            <w:tcW w:w="7830" w:type="dxa"/>
          </w:tcPr>
          <w:p w14:paraId="3D39BA4D" w14:textId="77777777" w:rsidR="00691DEF" w:rsidRDefault="00691DEF" w:rsidP="00691DEF">
            <w:pPr>
              <w:pStyle w:val="Heading2"/>
              <w:jc w:val="both"/>
              <w:outlineLvl w:val="1"/>
            </w:pPr>
            <w:r>
              <w:t>Head of Regional Fish Inspection Unit (Bureau of Fisheries and Aquatic Resources)</w:t>
            </w:r>
          </w:p>
          <w:p w14:paraId="6AACE8D9" w14:textId="77777777" w:rsidR="00691DEF" w:rsidRDefault="00691DEF" w:rsidP="00691DEF">
            <w:pPr>
              <w:pStyle w:val="ResumeText"/>
              <w:numPr>
                <w:ilvl w:val="0"/>
                <w:numId w:val="6"/>
              </w:numPr>
              <w:jc w:val="both"/>
            </w:pPr>
            <w:r>
              <w:t xml:space="preserve">Supervised the Regional Fish Inspection Unit for the day-to-day scheduling, monitoring, pre-inspection of export products, and audit of </w:t>
            </w:r>
            <w:r>
              <w:lastRenderedPageBreak/>
              <w:t>more than 20 establishments in the Region</w:t>
            </w:r>
          </w:p>
          <w:p w14:paraId="066DB49D" w14:textId="77777777" w:rsidR="00691DEF" w:rsidRDefault="00691DEF" w:rsidP="00691DEF">
            <w:pPr>
              <w:pStyle w:val="ResumeText"/>
              <w:numPr>
                <w:ilvl w:val="0"/>
                <w:numId w:val="6"/>
              </w:numPr>
              <w:jc w:val="both"/>
            </w:pPr>
            <w:r>
              <w:t>Checked and verified inspection reports, average of four reports monthly, before approval and endorsement to the Accreditation and Certification Unit</w:t>
            </w:r>
          </w:p>
          <w:p w14:paraId="39B68E1A" w14:textId="77777777" w:rsidR="00691DEF" w:rsidRDefault="00691DEF" w:rsidP="00691DEF">
            <w:pPr>
              <w:pStyle w:val="ResumeText"/>
              <w:numPr>
                <w:ilvl w:val="0"/>
                <w:numId w:val="6"/>
              </w:numPr>
              <w:jc w:val="both"/>
            </w:pPr>
            <w:r>
              <w:t>Acted as Lead Auditor to a team of inspectors in the execution of audit in the fisheries establishment</w:t>
            </w:r>
          </w:p>
          <w:p w14:paraId="2B765596" w14:textId="77777777" w:rsidR="00691DEF" w:rsidRDefault="00691DEF" w:rsidP="00691DEF">
            <w:pPr>
              <w:pStyle w:val="ResumeText"/>
              <w:numPr>
                <w:ilvl w:val="0"/>
                <w:numId w:val="6"/>
              </w:numPr>
              <w:jc w:val="both"/>
            </w:pPr>
            <w:r>
              <w:t>Supervised audits, average of 20 inspections monthly, of fishing vessels, fish markets, auction halls and fish business establishments from origin to production prior to export of products</w:t>
            </w:r>
          </w:p>
          <w:p w14:paraId="19425366" w14:textId="77777777" w:rsidR="00691DEF" w:rsidRDefault="00691DEF" w:rsidP="00691DEF">
            <w:pPr>
              <w:pStyle w:val="ResumeText"/>
              <w:numPr>
                <w:ilvl w:val="0"/>
                <w:numId w:val="6"/>
              </w:numPr>
              <w:jc w:val="both"/>
            </w:pPr>
            <w:r>
              <w:t>Supervised verification of products by sample collection and delivery to the authorized and accredited laboratory.</w:t>
            </w:r>
          </w:p>
          <w:p w14:paraId="31F27330" w14:textId="20862CC0" w:rsidR="00691DEF" w:rsidRDefault="00691DEF" w:rsidP="00691DEF">
            <w:pPr>
              <w:pStyle w:val="ResumeText"/>
              <w:numPr>
                <w:ilvl w:val="0"/>
                <w:numId w:val="6"/>
              </w:numPr>
              <w:jc w:val="both"/>
            </w:pPr>
            <w:r>
              <w:t>Trained production staff of fisheries establishment on proper fish handling and hygiene practices</w:t>
            </w:r>
          </w:p>
          <w:p w14:paraId="566F7A2C" w14:textId="0DAEBB36" w:rsidR="00691DEF" w:rsidRDefault="00691DEF" w:rsidP="00691DEF">
            <w:pPr>
              <w:pStyle w:val="ResumeText"/>
              <w:numPr>
                <w:ilvl w:val="0"/>
                <w:numId w:val="6"/>
              </w:numPr>
              <w:jc w:val="both"/>
            </w:pPr>
            <w:r>
              <w:t>Conducted audits with the Competent Authority Inspectors from European Union and United States Department of Agriculture</w:t>
            </w:r>
          </w:p>
          <w:p w14:paraId="219073AE" w14:textId="77777777" w:rsidR="00691DEF" w:rsidRDefault="00691DEF" w:rsidP="00691DEF">
            <w:pPr>
              <w:pStyle w:val="ResumeText"/>
              <w:jc w:val="both"/>
            </w:pPr>
          </w:p>
          <w:p w14:paraId="081771E9" w14:textId="77777777" w:rsidR="00691DEF" w:rsidRDefault="00691DEF" w:rsidP="00691DEF">
            <w:pPr>
              <w:pStyle w:val="Heading2"/>
              <w:jc w:val="both"/>
              <w:outlineLvl w:val="1"/>
            </w:pPr>
            <w:r>
              <w:t>National Consultant, Typhoon Haiyan Fisheries Post-Harvest Rehabilitation Project (Food and Agriculture Organization of the United Nations (UNFAO)</w:t>
            </w:r>
          </w:p>
          <w:p w14:paraId="0679BD2F" w14:textId="77777777" w:rsidR="00691DEF" w:rsidRDefault="00691DEF" w:rsidP="00691DEF">
            <w:pPr>
              <w:pStyle w:val="ResumeText"/>
              <w:numPr>
                <w:ilvl w:val="0"/>
                <w:numId w:val="4"/>
              </w:numPr>
              <w:jc w:val="both"/>
            </w:pPr>
            <w:r>
              <w:t xml:space="preserve">Managed the distribution of USD2,000,000 Typhoon </w:t>
            </w:r>
            <w:proofErr w:type="spellStart"/>
            <w:r>
              <w:t>Haiyan</w:t>
            </w:r>
            <w:proofErr w:type="spellEnd"/>
            <w:r>
              <w:t xml:space="preserve"> Fisheries Rehabilitation Project in eight areas in the Philippines</w:t>
            </w:r>
          </w:p>
          <w:p w14:paraId="075B56C5" w14:textId="77777777" w:rsidR="00691DEF" w:rsidRDefault="00691DEF" w:rsidP="00691DEF">
            <w:pPr>
              <w:pStyle w:val="ResumeText"/>
              <w:numPr>
                <w:ilvl w:val="0"/>
                <w:numId w:val="4"/>
              </w:numPr>
              <w:jc w:val="both"/>
            </w:pPr>
            <w:r>
              <w:t xml:space="preserve">Designed post-harvest materials for distribution to Typhoon </w:t>
            </w:r>
            <w:proofErr w:type="spellStart"/>
            <w:r>
              <w:t>Haiyan</w:t>
            </w:r>
            <w:proofErr w:type="spellEnd"/>
            <w:r>
              <w:t xml:space="preserve"> affected fishing communities</w:t>
            </w:r>
          </w:p>
          <w:p w14:paraId="561C7ADD" w14:textId="77777777" w:rsidR="00691DEF" w:rsidRDefault="00691DEF" w:rsidP="00691DEF">
            <w:pPr>
              <w:pStyle w:val="ResumeText"/>
              <w:numPr>
                <w:ilvl w:val="0"/>
                <w:numId w:val="4"/>
              </w:numPr>
              <w:jc w:val="both"/>
            </w:pPr>
            <w:r>
              <w:t>Exceeded the number of target beneficiaries by 156% to eight target areas</w:t>
            </w:r>
          </w:p>
          <w:p w14:paraId="1DA24C13" w14:textId="77777777" w:rsidR="00691DEF" w:rsidRDefault="00691DEF" w:rsidP="00691DEF">
            <w:pPr>
              <w:pStyle w:val="ResumeText"/>
              <w:numPr>
                <w:ilvl w:val="0"/>
                <w:numId w:val="4"/>
              </w:numPr>
              <w:jc w:val="both"/>
            </w:pPr>
            <w:r>
              <w:t>Managed distribution of post-harvest materials through logistics and warehouse planning with the support of the UNFAO operations team</w:t>
            </w:r>
          </w:p>
          <w:p w14:paraId="764D3BEE" w14:textId="77777777" w:rsidR="00691DEF" w:rsidRDefault="00691DEF" w:rsidP="00691DEF">
            <w:pPr>
              <w:pStyle w:val="ResumeText"/>
              <w:numPr>
                <w:ilvl w:val="0"/>
                <w:numId w:val="4"/>
              </w:numPr>
              <w:jc w:val="both"/>
            </w:pPr>
            <w:r>
              <w:t>Organized 20 women’s groups engaged in fisheries and fish processing towards resiliency and sustainable development programs</w:t>
            </w:r>
          </w:p>
          <w:p w14:paraId="0C012129" w14:textId="77777777" w:rsidR="00691DEF" w:rsidRDefault="00691DEF" w:rsidP="00691DEF">
            <w:pPr>
              <w:pStyle w:val="ResumeText"/>
              <w:numPr>
                <w:ilvl w:val="0"/>
                <w:numId w:val="4"/>
              </w:numPr>
              <w:jc w:val="both"/>
            </w:pPr>
            <w:r>
              <w:t>Trained fisheries groups on basic hygiene practices, proper handling of fish and fishery products and sustainable projects to increase resiliency of the fishing community</w:t>
            </w:r>
          </w:p>
          <w:p w14:paraId="3DB29C00" w14:textId="77777777" w:rsidR="00691DEF" w:rsidRDefault="00691DEF" w:rsidP="00691DEF">
            <w:pPr>
              <w:pStyle w:val="ResumeText"/>
              <w:jc w:val="both"/>
            </w:pPr>
          </w:p>
          <w:p w14:paraId="01D2F1E1" w14:textId="2B03EF13" w:rsidR="00EE5B57" w:rsidRDefault="002D7289" w:rsidP="003D47B9">
            <w:pPr>
              <w:pStyle w:val="Heading2"/>
              <w:jc w:val="both"/>
              <w:outlineLvl w:val="1"/>
            </w:pPr>
            <w:r>
              <w:t xml:space="preserve">Manager, Value Chain &amp; Market </w:t>
            </w:r>
            <w:r w:rsidR="00407BE2">
              <w:t>(Rare Inc.)</w:t>
            </w:r>
          </w:p>
          <w:p w14:paraId="54CDE2D7" w14:textId="6C675DFB" w:rsidR="00E814A7" w:rsidRDefault="00E814A7" w:rsidP="00E814A7">
            <w:pPr>
              <w:pStyle w:val="ResumeText"/>
              <w:numPr>
                <w:ilvl w:val="0"/>
                <w:numId w:val="3"/>
              </w:numPr>
              <w:jc w:val="both"/>
            </w:pPr>
            <w:r>
              <w:t xml:space="preserve">Managed four out of seven municipalities for the </w:t>
            </w:r>
            <w:r w:rsidR="00407BE2">
              <w:t xml:space="preserve">USAID funded project towards </w:t>
            </w:r>
            <w:r w:rsidR="00E72986">
              <w:t xml:space="preserve">fisheries </w:t>
            </w:r>
            <w:r w:rsidR="00407BE2">
              <w:t>sustainable management</w:t>
            </w:r>
          </w:p>
          <w:p w14:paraId="318A1129" w14:textId="7648C1E3" w:rsidR="00407BE2" w:rsidRDefault="00E72986" w:rsidP="00E814A7">
            <w:pPr>
              <w:pStyle w:val="ResumeText"/>
              <w:numPr>
                <w:ilvl w:val="0"/>
                <w:numId w:val="3"/>
              </w:numPr>
              <w:jc w:val="both"/>
            </w:pPr>
            <w:r>
              <w:t>Organized and trained women’s groups at the community to promote savings systems, fish processing, marketing management</w:t>
            </w:r>
          </w:p>
          <w:p w14:paraId="60430FE8" w14:textId="07C62D99" w:rsidR="00E72986" w:rsidRDefault="00E72986" w:rsidP="00E814A7">
            <w:pPr>
              <w:pStyle w:val="ResumeText"/>
              <w:numPr>
                <w:ilvl w:val="0"/>
                <w:numId w:val="3"/>
              </w:numPr>
              <w:jc w:val="both"/>
            </w:pPr>
            <w:r>
              <w:t>Initiated data collection to generate value chain report on premium species linked to premium markets</w:t>
            </w:r>
          </w:p>
          <w:p w14:paraId="7291E2E9" w14:textId="67B84DF3" w:rsidR="007C042D" w:rsidRDefault="007C042D" w:rsidP="00E814A7">
            <w:pPr>
              <w:pStyle w:val="ResumeText"/>
              <w:numPr>
                <w:ilvl w:val="0"/>
                <w:numId w:val="3"/>
              </w:numPr>
              <w:jc w:val="both"/>
            </w:pPr>
            <w:r>
              <w:t xml:space="preserve">Introduced and promoted behavior change to increase awareness on sustainable development, marine conservation and increase resiliency </w:t>
            </w:r>
            <w:r>
              <w:lastRenderedPageBreak/>
              <w:t>in times of calamity</w:t>
            </w:r>
          </w:p>
          <w:p w14:paraId="490B76FE" w14:textId="77777777" w:rsidR="00D70566" w:rsidRDefault="00D70566" w:rsidP="003D47B9">
            <w:pPr>
              <w:pStyle w:val="Heading2"/>
              <w:jc w:val="both"/>
              <w:outlineLvl w:val="1"/>
            </w:pPr>
          </w:p>
          <w:p w14:paraId="65D15903" w14:textId="78EF46C0" w:rsidR="00E526D9" w:rsidRDefault="002D7289" w:rsidP="007D78BD">
            <w:pPr>
              <w:pStyle w:val="Heading2"/>
              <w:jc w:val="both"/>
              <w:outlineLvl w:val="1"/>
            </w:pPr>
            <w:r>
              <w:t xml:space="preserve">Instructor III </w:t>
            </w:r>
            <w:r w:rsidR="007D78BD">
              <w:t>(</w:t>
            </w:r>
            <w:r>
              <w:t>Mindanao State University – General Santos City</w:t>
            </w:r>
            <w:r w:rsidR="007D78BD">
              <w:t>)</w:t>
            </w:r>
          </w:p>
          <w:p w14:paraId="61064E51" w14:textId="77777777" w:rsidR="00FA385C" w:rsidRDefault="00E526D9" w:rsidP="007D78BD">
            <w:pPr>
              <w:pStyle w:val="ResumeText"/>
              <w:numPr>
                <w:ilvl w:val="0"/>
                <w:numId w:val="5"/>
              </w:numPr>
            </w:pPr>
            <w:r>
              <w:t xml:space="preserve">Faculty of the College of Fisheries. </w:t>
            </w:r>
          </w:p>
          <w:p w14:paraId="2B50C4EC" w14:textId="49F7725C" w:rsidR="00E526D9" w:rsidRDefault="00E526D9" w:rsidP="007D78BD">
            <w:pPr>
              <w:pStyle w:val="ResumeText"/>
              <w:numPr>
                <w:ilvl w:val="0"/>
                <w:numId w:val="5"/>
              </w:numPr>
            </w:pPr>
            <w:r>
              <w:t>Teaching loads on fish processing</w:t>
            </w:r>
            <w:r w:rsidR="00C5175C">
              <w:t xml:space="preserve"> technology</w:t>
            </w:r>
            <w:r>
              <w:t>, fish microbiology, food safety and standards, Hazard Analysis and Critical Control P</w:t>
            </w:r>
            <w:r w:rsidR="00C5175C">
              <w:t>oints (HACCP), and thermal processing.</w:t>
            </w:r>
          </w:p>
          <w:p w14:paraId="34EB13B5" w14:textId="77777777" w:rsidR="00FA385C" w:rsidRDefault="00FA385C" w:rsidP="007D78BD">
            <w:pPr>
              <w:pStyle w:val="ResumeText"/>
              <w:numPr>
                <w:ilvl w:val="0"/>
                <w:numId w:val="5"/>
              </w:numPr>
            </w:pPr>
            <w:r>
              <w:t>Adviser of thesis paper for graduating students</w:t>
            </w:r>
          </w:p>
          <w:p w14:paraId="395FC9E4" w14:textId="2EFCC759" w:rsidR="00FA385C" w:rsidRDefault="00FA385C" w:rsidP="007D78BD">
            <w:pPr>
              <w:pStyle w:val="ResumeText"/>
              <w:numPr>
                <w:ilvl w:val="0"/>
                <w:numId w:val="5"/>
              </w:numPr>
            </w:pPr>
            <w:r>
              <w:t>Lecturer for the Fisheries Professional Board Exam Review</w:t>
            </w:r>
          </w:p>
          <w:p w14:paraId="70BC9022" w14:textId="77777777" w:rsidR="00E22EB1" w:rsidRPr="00E526D9" w:rsidRDefault="00E22EB1" w:rsidP="00E22EB1">
            <w:pPr>
              <w:pStyle w:val="ResumeText"/>
              <w:ind w:left="360"/>
            </w:pPr>
          </w:p>
          <w:p w14:paraId="33588967" w14:textId="59DA39D1" w:rsidR="00691DEF" w:rsidRDefault="00691DEF" w:rsidP="00691DEF">
            <w:pPr>
              <w:pStyle w:val="Heading2"/>
              <w:jc w:val="both"/>
              <w:outlineLvl w:val="1"/>
            </w:pPr>
            <w:r>
              <w:t xml:space="preserve">UAE Experience </w:t>
            </w:r>
          </w:p>
          <w:p w14:paraId="669BFC46" w14:textId="3F0CA914" w:rsidR="00691DEF" w:rsidRDefault="00691DEF" w:rsidP="00691DEF">
            <w:pPr>
              <w:pStyle w:val="ResumeText"/>
              <w:numPr>
                <w:ilvl w:val="0"/>
                <w:numId w:val="2"/>
              </w:numPr>
            </w:pPr>
            <w:r>
              <w:t>Revised and upgraded the food safety program according to the Gap Analysis Report</w:t>
            </w:r>
            <w:r w:rsidR="004B2BC6">
              <w:t xml:space="preserve"> of Fresh N Baked Pastries &amp; Sweets LLC</w:t>
            </w:r>
          </w:p>
          <w:p w14:paraId="0929EAB1" w14:textId="77777777" w:rsidR="00691DEF" w:rsidRDefault="00691DEF" w:rsidP="00691DEF">
            <w:pPr>
              <w:pStyle w:val="ResumeText"/>
              <w:numPr>
                <w:ilvl w:val="0"/>
                <w:numId w:val="2"/>
              </w:numPr>
            </w:pPr>
            <w:r>
              <w:t>Improved and enhanced the company’s food safety records</w:t>
            </w:r>
          </w:p>
          <w:p w14:paraId="3B7C8CD5" w14:textId="50C9E335" w:rsidR="00C5175C" w:rsidRDefault="00691DEF" w:rsidP="00E22EB1">
            <w:pPr>
              <w:pStyle w:val="ResumeText"/>
              <w:numPr>
                <w:ilvl w:val="0"/>
                <w:numId w:val="2"/>
              </w:numPr>
            </w:pPr>
            <w:r>
              <w:t>Formulated daily hygiene checklists and quality control forms for monitoring during daily operations</w:t>
            </w:r>
          </w:p>
        </w:tc>
      </w:tr>
      <w:tr w:rsidR="00EE5B57" w14:paraId="171AF3A0" w14:textId="77777777">
        <w:tc>
          <w:tcPr>
            <w:tcW w:w="2250" w:type="dxa"/>
            <w:tcMar>
              <w:right w:w="475" w:type="dxa"/>
            </w:tcMar>
          </w:tcPr>
          <w:p w14:paraId="3C328DB7" w14:textId="4DC0641D" w:rsidR="00EE5B57" w:rsidRDefault="00D36FF3" w:rsidP="003D47B9">
            <w:pPr>
              <w:pStyle w:val="Heading1"/>
              <w:jc w:val="both"/>
              <w:outlineLvl w:val="0"/>
            </w:pPr>
            <w:r>
              <w:lastRenderedPageBreak/>
              <w:t>Education</w:t>
            </w:r>
          </w:p>
        </w:tc>
        <w:tc>
          <w:tcPr>
            <w:tcW w:w="7830" w:type="dxa"/>
          </w:tcPr>
          <w:p w14:paraId="7A736F5B" w14:textId="77777777" w:rsidR="00EE5B57" w:rsidRDefault="006F5022" w:rsidP="003D47B9">
            <w:pPr>
              <w:pStyle w:val="Heading2"/>
              <w:jc w:val="both"/>
              <w:outlineLvl w:val="1"/>
            </w:pPr>
            <w:r>
              <w:t xml:space="preserve">Universtiy of the philippines visayas </w:t>
            </w:r>
          </w:p>
          <w:p w14:paraId="3983FA02" w14:textId="77777777" w:rsidR="00EE5B57" w:rsidRDefault="002D346B" w:rsidP="003D47B9">
            <w:pPr>
              <w:pStyle w:val="ResumeText"/>
              <w:jc w:val="both"/>
            </w:pPr>
            <w:r>
              <w:t>A scholar of the Fisheries Scholarship Program of BFAR and entered t</w:t>
            </w:r>
            <w:r w:rsidR="006F5022">
              <w:t xml:space="preserve">he University of the Philippines in the </w:t>
            </w:r>
            <w:proofErr w:type="spellStart"/>
            <w:r w:rsidR="006F5022">
              <w:t>Visayas</w:t>
            </w:r>
            <w:proofErr w:type="spellEnd"/>
            <w:r>
              <w:t>. The University</w:t>
            </w:r>
            <w:r w:rsidR="006F5022">
              <w:t xml:space="preserve"> boasts for its prime teaching on marine fisheries, aquaculture and fish processing in the country. </w:t>
            </w:r>
            <w:r>
              <w:t>The Fisheries Scholarship Program requires its scholars to have a GPA of not lower than 2.50 which I maintained until the last semester in the University.</w:t>
            </w:r>
          </w:p>
        </w:tc>
      </w:tr>
      <w:tr w:rsidR="00EE5B57" w14:paraId="2DBBB10D" w14:textId="77777777">
        <w:tc>
          <w:tcPr>
            <w:tcW w:w="2250" w:type="dxa"/>
            <w:tcMar>
              <w:right w:w="475" w:type="dxa"/>
            </w:tcMar>
          </w:tcPr>
          <w:p w14:paraId="0000ECE3" w14:textId="77777777" w:rsidR="00EE5B57" w:rsidRDefault="00D36FF3" w:rsidP="003D47B9">
            <w:pPr>
              <w:pStyle w:val="Heading1"/>
              <w:jc w:val="both"/>
              <w:outlineLvl w:val="0"/>
            </w:pPr>
            <w:r>
              <w:t>Communication</w:t>
            </w:r>
          </w:p>
        </w:tc>
        <w:tc>
          <w:tcPr>
            <w:tcW w:w="7830" w:type="dxa"/>
          </w:tcPr>
          <w:p w14:paraId="3E8C76F0" w14:textId="77777777" w:rsidR="00EE5B57" w:rsidRPr="009633AF" w:rsidRDefault="002D346B" w:rsidP="003D47B9">
            <w:pPr>
              <w:pStyle w:val="ResumeText"/>
              <w:jc w:val="both"/>
            </w:pPr>
            <w:r>
              <w:t xml:space="preserve">I deliver trainings </w:t>
            </w:r>
            <w:r w:rsidR="009633AF">
              <w:t>and presentations related to</w:t>
            </w:r>
            <w:r w:rsidR="00D45F44">
              <w:t xml:space="preserve"> reduction of postharvest</w:t>
            </w:r>
            <w:r w:rsidR="009633AF">
              <w:t xml:space="preserve"> </w:t>
            </w:r>
            <w:r w:rsidR="00D45F44">
              <w:t xml:space="preserve">losses, </w:t>
            </w:r>
            <w:r w:rsidR="009633AF">
              <w:t xml:space="preserve">food safety, HACCP, quality control, sensory evaluation, good manufacturing practices and </w:t>
            </w:r>
            <w:r w:rsidR="00770463">
              <w:t>policies</w:t>
            </w:r>
            <w:r w:rsidR="009633AF">
              <w:t xml:space="preserve"> and regulations </w:t>
            </w:r>
            <w:r>
              <w:t>to several and mixed audience</w:t>
            </w:r>
            <w:r w:rsidR="009633AF">
              <w:t xml:space="preserve">s. The presentation is audience-specific and is guided by the references and publications from </w:t>
            </w:r>
            <w:r w:rsidR="009633AF">
              <w:rPr>
                <w:i/>
              </w:rPr>
              <w:t xml:space="preserve">Codex </w:t>
            </w:r>
            <w:proofErr w:type="spellStart"/>
            <w:r w:rsidR="009633AF">
              <w:rPr>
                <w:i/>
              </w:rPr>
              <w:t>Alimentarius</w:t>
            </w:r>
            <w:proofErr w:type="spellEnd"/>
            <w:r w:rsidR="009633AF">
              <w:rPr>
                <w:i/>
              </w:rPr>
              <w:t xml:space="preserve">, </w:t>
            </w:r>
            <w:r w:rsidR="009633AF">
              <w:t>Food and Agriculture Organization, and the regulations of the importing countries.</w:t>
            </w:r>
          </w:p>
        </w:tc>
      </w:tr>
      <w:tr w:rsidR="00A44F14" w14:paraId="182A60B0" w14:textId="77777777">
        <w:tc>
          <w:tcPr>
            <w:tcW w:w="2250" w:type="dxa"/>
            <w:tcMar>
              <w:right w:w="475" w:type="dxa"/>
            </w:tcMar>
          </w:tcPr>
          <w:p w14:paraId="14841B83" w14:textId="77777777" w:rsidR="00A44F14" w:rsidRDefault="00A44F14" w:rsidP="003D47B9">
            <w:pPr>
              <w:pStyle w:val="Heading1"/>
              <w:jc w:val="both"/>
              <w:outlineLvl w:val="0"/>
            </w:pPr>
            <w:r>
              <w:t>MEMBERSHIP</w:t>
            </w:r>
          </w:p>
        </w:tc>
        <w:tc>
          <w:tcPr>
            <w:tcW w:w="7830" w:type="dxa"/>
          </w:tcPr>
          <w:p w14:paraId="2B2037A0" w14:textId="2C2C6D50" w:rsidR="00C24112" w:rsidRDefault="008D0C01" w:rsidP="003D47B9">
            <w:pPr>
              <w:pStyle w:val="ResumeText"/>
              <w:jc w:val="both"/>
            </w:pPr>
            <w:r>
              <w:t xml:space="preserve">Member </w:t>
            </w:r>
            <w:r w:rsidR="00C24112">
              <w:t>in the International Register of Certified Auditors (IRCA) on Food Safety Management System (FSMS)</w:t>
            </w:r>
          </w:p>
          <w:p w14:paraId="0E02B019" w14:textId="77777777" w:rsidR="00A44F14" w:rsidRDefault="00A44F14" w:rsidP="003D47B9">
            <w:pPr>
              <w:pStyle w:val="ResumeText"/>
              <w:jc w:val="both"/>
            </w:pPr>
            <w:r>
              <w:t>Member of the Technical Working Group for the creation of BFAR Fish Inspection Procedures and Protocol Manual</w:t>
            </w:r>
          </w:p>
        </w:tc>
      </w:tr>
      <w:tr w:rsidR="00EE5B57" w14:paraId="0D90C5BA" w14:textId="77777777">
        <w:tc>
          <w:tcPr>
            <w:tcW w:w="2250" w:type="dxa"/>
            <w:tcMar>
              <w:right w:w="475" w:type="dxa"/>
            </w:tcMar>
          </w:tcPr>
          <w:p w14:paraId="2CCBFCDB" w14:textId="77777777" w:rsidR="00EE5B57" w:rsidRDefault="009633AF" w:rsidP="003D47B9">
            <w:pPr>
              <w:pStyle w:val="Heading1"/>
              <w:jc w:val="both"/>
              <w:outlineLvl w:val="0"/>
            </w:pPr>
            <w:r>
              <w:t>TRAINING</w:t>
            </w:r>
          </w:p>
        </w:tc>
        <w:tc>
          <w:tcPr>
            <w:tcW w:w="7830" w:type="dxa"/>
          </w:tcPr>
          <w:p w14:paraId="28B02AE3" w14:textId="77777777" w:rsidR="00EE5B57" w:rsidRDefault="00DD6958" w:rsidP="003D47B9">
            <w:pPr>
              <w:pStyle w:val="ResumeText"/>
              <w:jc w:val="both"/>
            </w:pPr>
            <w:r w:rsidRPr="00633D21">
              <w:t>Successfully completed the following trainings</w:t>
            </w:r>
            <w:r w:rsidR="003132A4" w:rsidRPr="00633D21">
              <w:t xml:space="preserve"> and courses</w:t>
            </w:r>
            <w:r w:rsidRPr="00633D21">
              <w:t>:</w:t>
            </w:r>
          </w:p>
          <w:p w14:paraId="02333F1D" w14:textId="1C09DA01" w:rsidR="00FF48A8" w:rsidRDefault="00FF48A8" w:rsidP="00E22EB1">
            <w:pPr>
              <w:pStyle w:val="ResumeText"/>
              <w:numPr>
                <w:ilvl w:val="0"/>
                <w:numId w:val="8"/>
              </w:numPr>
              <w:jc w:val="both"/>
            </w:pPr>
            <w:r>
              <w:t>Supply Chain Design (MIT Online Course – ongoing)</w:t>
            </w:r>
          </w:p>
          <w:p w14:paraId="40FD13EE" w14:textId="3C5E3FE0" w:rsidR="00FF48A8" w:rsidRDefault="00FF48A8" w:rsidP="00E22EB1">
            <w:pPr>
              <w:pStyle w:val="ResumeText"/>
              <w:numPr>
                <w:ilvl w:val="0"/>
                <w:numId w:val="8"/>
              </w:numPr>
              <w:jc w:val="both"/>
            </w:pPr>
            <w:r>
              <w:t>From Poverty to Prosperity: Understanding Economic Development (Oxford Online Course)</w:t>
            </w:r>
          </w:p>
          <w:p w14:paraId="7EDF51D6" w14:textId="065F2070" w:rsidR="00166DED" w:rsidRPr="00633D21" w:rsidRDefault="00B27CD3" w:rsidP="00E22EB1">
            <w:pPr>
              <w:pStyle w:val="ResumeText"/>
              <w:numPr>
                <w:ilvl w:val="0"/>
                <w:numId w:val="8"/>
              </w:numPr>
              <w:jc w:val="both"/>
            </w:pPr>
            <w:r>
              <w:lastRenderedPageBreak/>
              <w:t xml:space="preserve">Understanding Food Fraud </w:t>
            </w:r>
            <w:r w:rsidR="00362DA1">
              <w:t>(Webi</w:t>
            </w:r>
            <w:r w:rsidR="00CD3C8F">
              <w:t>nar)</w:t>
            </w:r>
          </w:p>
          <w:p w14:paraId="096A0B54" w14:textId="77777777" w:rsidR="00DD6958" w:rsidRPr="00633D21" w:rsidRDefault="00633D21" w:rsidP="00E22EB1">
            <w:pPr>
              <w:pStyle w:val="ResumeText"/>
              <w:numPr>
                <w:ilvl w:val="0"/>
                <w:numId w:val="8"/>
              </w:numPr>
              <w:jc w:val="both"/>
            </w:pPr>
            <w:r w:rsidRPr="00633D21">
              <w:t>ISO</w:t>
            </w:r>
            <w:r w:rsidR="00B74C38" w:rsidRPr="00633D21">
              <w:t>/FSSC</w:t>
            </w:r>
            <w:r w:rsidR="00DD6958" w:rsidRPr="00633D21">
              <w:t xml:space="preserve"> </w:t>
            </w:r>
            <w:r w:rsidRPr="00633D21">
              <w:t xml:space="preserve">22000 Food Safety Management System - </w:t>
            </w:r>
            <w:r w:rsidR="00DD6958" w:rsidRPr="00633D21">
              <w:t xml:space="preserve">Lead Auditor Course </w:t>
            </w:r>
            <w:r w:rsidR="003132A4" w:rsidRPr="00633D21">
              <w:t>(IRCA Licensed Course)</w:t>
            </w:r>
          </w:p>
          <w:p w14:paraId="44414638" w14:textId="77777777" w:rsidR="00B74C38" w:rsidRPr="00633D21" w:rsidRDefault="00B74C38" w:rsidP="00E22EB1">
            <w:pPr>
              <w:pStyle w:val="ResumeText"/>
              <w:numPr>
                <w:ilvl w:val="0"/>
                <w:numId w:val="8"/>
              </w:numPr>
              <w:jc w:val="both"/>
            </w:pPr>
            <w:r w:rsidRPr="00633D21">
              <w:t>Global  Postharvest Loss Prevention: Fundamentals, Technologies and Actors (Online course)</w:t>
            </w:r>
          </w:p>
          <w:p w14:paraId="172FAEBC" w14:textId="77777777" w:rsidR="00A44F14" w:rsidRPr="00633D21" w:rsidRDefault="00A44F14" w:rsidP="00E22EB1">
            <w:pPr>
              <w:pStyle w:val="ResumeText"/>
              <w:numPr>
                <w:ilvl w:val="0"/>
                <w:numId w:val="8"/>
              </w:numPr>
              <w:jc w:val="both"/>
            </w:pPr>
            <w:r w:rsidRPr="00633D21">
              <w:t>Climate Change and Food Security</w:t>
            </w:r>
            <w:r w:rsidR="00673634" w:rsidRPr="00633D21">
              <w:t xml:space="preserve"> Training</w:t>
            </w:r>
          </w:p>
          <w:p w14:paraId="1B4F145A" w14:textId="77777777" w:rsidR="00DD6958" w:rsidRPr="00633D21" w:rsidRDefault="00A44F14" w:rsidP="00E22EB1">
            <w:pPr>
              <w:pStyle w:val="ResumeText"/>
              <w:numPr>
                <w:ilvl w:val="0"/>
                <w:numId w:val="8"/>
              </w:numPr>
              <w:jc w:val="both"/>
            </w:pPr>
            <w:r w:rsidRPr="00633D21">
              <w:t>Traceability and Control of the Cold Chain</w:t>
            </w:r>
            <w:r w:rsidR="00673634" w:rsidRPr="00633D21">
              <w:t xml:space="preserve"> Training</w:t>
            </w:r>
          </w:p>
          <w:p w14:paraId="43CC810F" w14:textId="77777777" w:rsidR="00A44F14" w:rsidRPr="00633D21" w:rsidRDefault="00A44F14" w:rsidP="00E22EB1">
            <w:pPr>
              <w:pStyle w:val="ResumeText"/>
              <w:numPr>
                <w:ilvl w:val="0"/>
                <w:numId w:val="8"/>
              </w:numPr>
              <w:jc w:val="both"/>
            </w:pPr>
            <w:r w:rsidRPr="00633D21">
              <w:t>Course on Canned Foods Principles of Thermal Process Control, Acidification, and Container Closure Evaluation</w:t>
            </w:r>
          </w:p>
          <w:p w14:paraId="177FF76A" w14:textId="77777777" w:rsidR="00673634" w:rsidRPr="00633D21" w:rsidRDefault="00673634" w:rsidP="00E22EB1">
            <w:pPr>
              <w:pStyle w:val="ResumeText"/>
              <w:numPr>
                <w:ilvl w:val="0"/>
                <w:numId w:val="8"/>
              </w:numPr>
              <w:jc w:val="both"/>
            </w:pPr>
            <w:r w:rsidRPr="00633D21">
              <w:t>Seafood Safety Training</w:t>
            </w:r>
          </w:p>
          <w:p w14:paraId="2343649E" w14:textId="77777777" w:rsidR="00673634" w:rsidRPr="00633D21" w:rsidRDefault="00EA0E9B" w:rsidP="00E22EB1">
            <w:pPr>
              <w:pStyle w:val="ResumeText"/>
              <w:numPr>
                <w:ilvl w:val="0"/>
                <w:numId w:val="8"/>
              </w:numPr>
              <w:jc w:val="both"/>
            </w:pPr>
            <w:r w:rsidRPr="00633D21">
              <w:t>Risk-based Inspection Training</w:t>
            </w:r>
          </w:p>
          <w:p w14:paraId="6B77C355" w14:textId="77777777" w:rsidR="00EA0E9B" w:rsidRPr="00633D21" w:rsidRDefault="00EA0E9B" w:rsidP="00E22EB1">
            <w:pPr>
              <w:pStyle w:val="ResumeText"/>
              <w:numPr>
                <w:ilvl w:val="0"/>
                <w:numId w:val="8"/>
              </w:numPr>
              <w:jc w:val="both"/>
            </w:pPr>
            <w:r w:rsidRPr="00633D21">
              <w:t>Risk-based Sampling Training</w:t>
            </w:r>
          </w:p>
          <w:p w14:paraId="6C8D8E16" w14:textId="77777777" w:rsidR="00633D21" w:rsidRPr="00C24112" w:rsidRDefault="00EA0E9B" w:rsidP="00E22EB1">
            <w:pPr>
              <w:pStyle w:val="ResumeText"/>
              <w:numPr>
                <w:ilvl w:val="0"/>
                <w:numId w:val="8"/>
              </w:numPr>
              <w:jc w:val="both"/>
            </w:pPr>
            <w:r w:rsidRPr="00633D21">
              <w:t>Course on Establishment of Thermal Process for Canned Foods</w:t>
            </w:r>
          </w:p>
        </w:tc>
      </w:tr>
      <w:tr w:rsidR="00EE5B57" w14:paraId="00CBEE8E" w14:textId="77777777">
        <w:tc>
          <w:tcPr>
            <w:tcW w:w="2250" w:type="dxa"/>
            <w:tcMar>
              <w:right w:w="475" w:type="dxa"/>
            </w:tcMar>
          </w:tcPr>
          <w:p w14:paraId="05FE1B0F" w14:textId="6C491CA8" w:rsidR="00EE5B57" w:rsidRDefault="00EE5B57" w:rsidP="003D47B9">
            <w:pPr>
              <w:pStyle w:val="Heading1"/>
              <w:jc w:val="both"/>
              <w:outlineLvl w:val="0"/>
            </w:pPr>
            <w:bookmarkStart w:id="0" w:name="_GoBack"/>
            <w:bookmarkEnd w:id="0"/>
          </w:p>
        </w:tc>
        <w:tc>
          <w:tcPr>
            <w:tcW w:w="7830" w:type="dxa"/>
          </w:tcPr>
          <w:p w14:paraId="0C3FA5E5" w14:textId="3F6A4E42" w:rsidR="008B13D6" w:rsidRDefault="008B13D6" w:rsidP="003D47B9">
            <w:pPr>
              <w:pStyle w:val="ResumeText"/>
              <w:jc w:val="both"/>
            </w:pPr>
          </w:p>
        </w:tc>
      </w:tr>
    </w:tbl>
    <w:p w14:paraId="2A8B5F15" w14:textId="77777777" w:rsidR="00EE5B57" w:rsidRDefault="00EE5B57" w:rsidP="003D47B9">
      <w:pPr>
        <w:jc w:val="both"/>
      </w:pPr>
    </w:p>
    <w:sectPr w:rsidR="00EE5B57"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D783B" w14:textId="77777777" w:rsidR="00C133EE" w:rsidRDefault="00C133EE">
      <w:pPr>
        <w:spacing w:after="0" w:line="240" w:lineRule="auto"/>
      </w:pPr>
      <w:r>
        <w:separator/>
      </w:r>
    </w:p>
  </w:endnote>
  <w:endnote w:type="continuationSeparator" w:id="0">
    <w:p w14:paraId="59FE4E77" w14:textId="77777777" w:rsidR="00C133EE" w:rsidRDefault="00C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FFEFA0" w14:textId="77777777" w:rsidR="00C133EE" w:rsidRDefault="00C133EE">
      <w:pPr>
        <w:spacing w:after="0" w:line="240" w:lineRule="auto"/>
      </w:pPr>
      <w:r>
        <w:separator/>
      </w:r>
    </w:p>
  </w:footnote>
  <w:footnote w:type="continuationSeparator" w:id="0">
    <w:p w14:paraId="73B3A510" w14:textId="77777777" w:rsidR="00C133EE" w:rsidRDefault="00C1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B7C0E"/>
    <w:multiLevelType w:val="hybridMultilevel"/>
    <w:tmpl w:val="DA78E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7A7F41"/>
    <w:multiLevelType w:val="hybridMultilevel"/>
    <w:tmpl w:val="4D645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1915F4"/>
    <w:multiLevelType w:val="hybridMultilevel"/>
    <w:tmpl w:val="B8ECA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0A2B80"/>
    <w:multiLevelType w:val="hybridMultilevel"/>
    <w:tmpl w:val="1FEC2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E45970"/>
    <w:multiLevelType w:val="hybridMultilevel"/>
    <w:tmpl w:val="8670FC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1D5F2D"/>
    <w:multiLevelType w:val="hybridMultilevel"/>
    <w:tmpl w:val="72046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5B1D84"/>
    <w:multiLevelType w:val="hybridMultilevel"/>
    <w:tmpl w:val="2AA6A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3744F3"/>
    <w:multiLevelType w:val="hybridMultilevel"/>
    <w:tmpl w:val="C56C7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94C"/>
    <w:rsid w:val="00000CC1"/>
    <w:rsid w:val="00021B3C"/>
    <w:rsid w:val="00030FA8"/>
    <w:rsid w:val="00041182"/>
    <w:rsid w:val="00090142"/>
    <w:rsid w:val="00091A75"/>
    <w:rsid w:val="0012614F"/>
    <w:rsid w:val="00142B5D"/>
    <w:rsid w:val="00147919"/>
    <w:rsid w:val="00166DED"/>
    <w:rsid w:val="001708A1"/>
    <w:rsid w:val="00172FB7"/>
    <w:rsid w:val="0018593F"/>
    <w:rsid w:val="001C28FF"/>
    <w:rsid w:val="001C6460"/>
    <w:rsid w:val="001F5264"/>
    <w:rsid w:val="00227C17"/>
    <w:rsid w:val="00264CA9"/>
    <w:rsid w:val="002A48A9"/>
    <w:rsid w:val="002A7E16"/>
    <w:rsid w:val="002D346B"/>
    <w:rsid w:val="002D6C53"/>
    <w:rsid w:val="002D7289"/>
    <w:rsid w:val="00307691"/>
    <w:rsid w:val="0031148F"/>
    <w:rsid w:val="003132A4"/>
    <w:rsid w:val="00321B9E"/>
    <w:rsid w:val="0034638F"/>
    <w:rsid w:val="00356943"/>
    <w:rsid w:val="00362DA1"/>
    <w:rsid w:val="00374751"/>
    <w:rsid w:val="003B6A75"/>
    <w:rsid w:val="003D47B9"/>
    <w:rsid w:val="003E3CF2"/>
    <w:rsid w:val="003F61BF"/>
    <w:rsid w:val="00407BE2"/>
    <w:rsid w:val="00431E83"/>
    <w:rsid w:val="00456B8D"/>
    <w:rsid w:val="004B2BC6"/>
    <w:rsid w:val="004E5948"/>
    <w:rsid w:val="004E6D6D"/>
    <w:rsid w:val="004F4DC3"/>
    <w:rsid w:val="005106F6"/>
    <w:rsid w:val="00553783"/>
    <w:rsid w:val="005A1EA0"/>
    <w:rsid w:val="005D1AFF"/>
    <w:rsid w:val="005E6BD3"/>
    <w:rsid w:val="005F3CC8"/>
    <w:rsid w:val="00604D71"/>
    <w:rsid w:val="00633D21"/>
    <w:rsid w:val="00642AC0"/>
    <w:rsid w:val="006734FC"/>
    <w:rsid w:val="00673634"/>
    <w:rsid w:val="00685BE6"/>
    <w:rsid w:val="00691DEF"/>
    <w:rsid w:val="00692FC7"/>
    <w:rsid w:val="006A7AB2"/>
    <w:rsid w:val="006B2B36"/>
    <w:rsid w:val="006F5022"/>
    <w:rsid w:val="00706C59"/>
    <w:rsid w:val="00770463"/>
    <w:rsid w:val="00794115"/>
    <w:rsid w:val="007C042D"/>
    <w:rsid w:val="007D78BD"/>
    <w:rsid w:val="00800BC3"/>
    <w:rsid w:val="008261D8"/>
    <w:rsid w:val="00830196"/>
    <w:rsid w:val="00853D38"/>
    <w:rsid w:val="008575CB"/>
    <w:rsid w:val="008B13D6"/>
    <w:rsid w:val="008D0C01"/>
    <w:rsid w:val="0090532C"/>
    <w:rsid w:val="00923E59"/>
    <w:rsid w:val="009341ED"/>
    <w:rsid w:val="00952723"/>
    <w:rsid w:val="009633AF"/>
    <w:rsid w:val="009C79F1"/>
    <w:rsid w:val="00A34562"/>
    <w:rsid w:val="00A44F14"/>
    <w:rsid w:val="00A4704D"/>
    <w:rsid w:val="00A707F2"/>
    <w:rsid w:val="00A72B75"/>
    <w:rsid w:val="00A74065"/>
    <w:rsid w:val="00AD31A5"/>
    <w:rsid w:val="00B27CD3"/>
    <w:rsid w:val="00B4720D"/>
    <w:rsid w:val="00B7128B"/>
    <w:rsid w:val="00B73459"/>
    <w:rsid w:val="00B74C38"/>
    <w:rsid w:val="00B83DCF"/>
    <w:rsid w:val="00BC1D29"/>
    <w:rsid w:val="00BF20C3"/>
    <w:rsid w:val="00C0129B"/>
    <w:rsid w:val="00C10230"/>
    <w:rsid w:val="00C133EE"/>
    <w:rsid w:val="00C235C2"/>
    <w:rsid w:val="00C24112"/>
    <w:rsid w:val="00C419CC"/>
    <w:rsid w:val="00C41FD9"/>
    <w:rsid w:val="00C5175C"/>
    <w:rsid w:val="00C7594E"/>
    <w:rsid w:val="00CC67A4"/>
    <w:rsid w:val="00CD3C8F"/>
    <w:rsid w:val="00CF08C8"/>
    <w:rsid w:val="00D247AA"/>
    <w:rsid w:val="00D36FF3"/>
    <w:rsid w:val="00D45F44"/>
    <w:rsid w:val="00D67DAD"/>
    <w:rsid w:val="00D70566"/>
    <w:rsid w:val="00D82702"/>
    <w:rsid w:val="00D95FBC"/>
    <w:rsid w:val="00D97140"/>
    <w:rsid w:val="00DA7CFF"/>
    <w:rsid w:val="00DD5A17"/>
    <w:rsid w:val="00DD6958"/>
    <w:rsid w:val="00E22EB1"/>
    <w:rsid w:val="00E413F4"/>
    <w:rsid w:val="00E526D9"/>
    <w:rsid w:val="00E5344A"/>
    <w:rsid w:val="00E72986"/>
    <w:rsid w:val="00E814A7"/>
    <w:rsid w:val="00E96431"/>
    <w:rsid w:val="00EA0E9B"/>
    <w:rsid w:val="00ED291E"/>
    <w:rsid w:val="00EE5B57"/>
    <w:rsid w:val="00EF794C"/>
    <w:rsid w:val="00F12F2B"/>
    <w:rsid w:val="00F33193"/>
    <w:rsid w:val="00F45F87"/>
    <w:rsid w:val="00F83726"/>
    <w:rsid w:val="00FA385C"/>
    <w:rsid w:val="00FA588E"/>
    <w:rsid w:val="00FA6079"/>
    <w:rsid w:val="00FC20E9"/>
    <w:rsid w:val="00FE7CD3"/>
    <w:rsid w:val="00FF23DD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3FA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A44F14"/>
    <w:rPr>
      <w:color w:val="646464" w:themeColor="hyperlink"/>
      <w:u w:val="single"/>
    </w:rPr>
  </w:style>
  <w:style w:type="paragraph" w:customStyle="1" w:styleId="Default">
    <w:name w:val="Default"/>
    <w:rsid w:val="00A44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5F44"/>
    <w:rPr>
      <w:color w:val="96969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A9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BC1D2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character" w:styleId="Hyperlink">
    <w:name w:val="Hyperlink"/>
    <w:basedOn w:val="DefaultParagraphFont"/>
    <w:uiPriority w:val="99"/>
    <w:unhideWhenUsed/>
    <w:rsid w:val="00A44F14"/>
    <w:rPr>
      <w:color w:val="646464" w:themeColor="hyperlink"/>
      <w:u w:val="single"/>
    </w:rPr>
  </w:style>
  <w:style w:type="paragraph" w:customStyle="1" w:styleId="Default">
    <w:name w:val="Default"/>
    <w:rsid w:val="00A44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45F44"/>
    <w:rPr>
      <w:color w:val="969696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CA9"/>
    <w:rPr>
      <w:rFonts w:ascii="Tahoma" w:hAnsi="Tahoma" w:cs="Tahoma"/>
      <w:sz w:val="16"/>
      <w:szCs w:val="16"/>
    </w:rPr>
  </w:style>
  <w:style w:type="character" w:customStyle="1" w:styleId="Mention">
    <w:name w:val="Mention"/>
    <w:basedOn w:val="DefaultParagraphFont"/>
    <w:uiPriority w:val="99"/>
    <w:semiHidden/>
    <w:unhideWhenUsed/>
    <w:rsid w:val="00BC1D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.36681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ampeon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178</TotalTime>
  <Pages>1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Campeon</dc:creator>
  <cp:lastModifiedBy>602HRDESK</cp:lastModifiedBy>
  <cp:revision>20</cp:revision>
  <cp:lastPrinted>2017-04-11T17:39:00Z</cp:lastPrinted>
  <dcterms:created xsi:type="dcterms:W3CDTF">2017-04-14T10:14:00Z</dcterms:created>
  <dcterms:modified xsi:type="dcterms:W3CDTF">2017-05-10T13:33:00Z</dcterms:modified>
</cp:coreProperties>
</file>