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C3" w:rsidRDefault="00E96C27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44"/>
          <w:szCs w:val="44"/>
        </w:rPr>
        <w:t xml:space="preserve">GOPAL </w:t>
      </w:r>
    </w:p>
    <w:p w:rsidR="00FE63C3" w:rsidRDefault="00974C23">
      <w:pPr>
        <w:spacing w:line="238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Email: </w:t>
      </w:r>
      <w:r w:rsidR="00E96C27">
        <w:rPr>
          <w:rFonts w:ascii="Arial" w:eastAsia="Arial" w:hAnsi="Arial" w:cs="Arial"/>
          <w:sz w:val="18"/>
          <w:szCs w:val="18"/>
        </w:rPr>
        <w:t xml:space="preserve"> </w:t>
      </w:r>
      <w:hyperlink r:id="rId6" w:history="1">
        <w:r w:rsidRPr="00603F90">
          <w:rPr>
            <w:rStyle w:val="Hyperlink"/>
            <w:rFonts w:ascii="Tahoma" w:eastAsia="Tahoma" w:hAnsi="Tahoma" w:cs="Tahoma"/>
            <w:sz w:val="18"/>
            <w:szCs w:val="18"/>
          </w:rPr>
          <w:t>gopal.369835@2freemail.com</w:t>
        </w:r>
      </w:hyperlink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FE63C3" w:rsidRDefault="00E96C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15875</wp:posOffset>
            </wp:positionV>
            <wp:extent cx="6347460" cy="7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3C3" w:rsidRDefault="00FE63C3">
      <w:pPr>
        <w:spacing w:line="123" w:lineRule="exact"/>
        <w:rPr>
          <w:sz w:val="24"/>
          <w:szCs w:val="24"/>
        </w:rPr>
      </w:pPr>
    </w:p>
    <w:p w:rsidR="00FE63C3" w:rsidRDefault="00E96C27">
      <w:pPr>
        <w:ind w:right="118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Executive Profile</w:t>
      </w:r>
    </w:p>
    <w:p w:rsidR="00FE63C3" w:rsidRDefault="00E96C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5695950</wp:posOffset>
            </wp:positionH>
            <wp:positionV relativeFrom="paragraph">
              <wp:posOffset>-26035</wp:posOffset>
            </wp:positionV>
            <wp:extent cx="619125" cy="927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3C3" w:rsidRDefault="00FE63C3">
      <w:pPr>
        <w:spacing w:line="102" w:lineRule="exact"/>
        <w:rPr>
          <w:sz w:val="24"/>
          <w:szCs w:val="24"/>
        </w:rPr>
      </w:pPr>
    </w:p>
    <w:p w:rsidR="00FE63C3" w:rsidRDefault="00E96C27">
      <w:pPr>
        <w:spacing w:line="232" w:lineRule="auto"/>
        <w:ind w:left="40" w:right="12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 civil engineering professional, PMP and an MBA with specialization in project management with 18+ years of diverse experience and core competencies in almost </w:t>
      </w:r>
      <w:r>
        <w:rPr>
          <w:rFonts w:ascii="Calibri" w:eastAsia="Calibri" w:hAnsi="Calibri" w:cs="Calibri"/>
          <w:sz w:val="20"/>
          <w:szCs w:val="20"/>
        </w:rPr>
        <w:t>every facet of construction projects which extends from site experience to project management, construction management and commissioning of major strategic projects. Seeking a position to harness inherent benefits of acquired experience and engineering kno</w:t>
      </w:r>
      <w:r>
        <w:rPr>
          <w:rFonts w:ascii="Calibri" w:eastAsia="Calibri" w:hAnsi="Calibri" w:cs="Calibri"/>
          <w:sz w:val="20"/>
          <w:szCs w:val="20"/>
        </w:rPr>
        <w:t>w-how to boost organizational growth within the real estate sector, with particular focus on developers where techno-commercial acumen can be employed.</w:t>
      </w:r>
    </w:p>
    <w:p w:rsidR="00FE63C3" w:rsidRDefault="00E96C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347460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3C3" w:rsidRDefault="00FE63C3">
      <w:pPr>
        <w:spacing w:line="125" w:lineRule="exact"/>
        <w:rPr>
          <w:sz w:val="24"/>
          <w:szCs w:val="24"/>
        </w:rPr>
      </w:pPr>
    </w:p>
    <w:p w:rsidR="00FE63C3" w:rsidRDefault="00E96C27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Skills Summary</w:t>
      </w:r>
    </w:p>
    <w:p w:rsidR="00FE63C3" w:rsidRDefault="00FE63C3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420"/>
        <w:gridCol w:w="3025"/>
        <w:gridCol w:w="3475"/>
        <w:gridCol w:w="40"/>
      </w:tblGrid>
      <w:tr w:rsidR="00FE63C3">
        <w:trPr>
          <w:trHeight w:val="240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E96C2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Strategic:</w:t>
            </w: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Operational: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E96C27">
            <w:pPr>
              <w:ind w:left="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Value-Added Attributes:</w:t>
            </w: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0"/>
                <w:szCs w:val="20"/>
              </w:rPr>
            </w:pPr>
          </w:p>
        </w:tc>
      </w:tr>
      <w:tr w:rsidR="00FE63C3">
        <w:trPr>
          <w:trHeight w:val="269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E96C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Management</w:t>
            </w: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Project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Control &amp; Coordination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E96C27">
            <w:pPr>
              <w:ind w:left="7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DBE5F1"/>
              </w:rPr>
              <w:t>ISO 9001, OHSAS 18001 and ISO 14001,</w:t>
            </w: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3"/>
                <w:szCs w:val="23"/>
              </w:rPr>
            </w:pPr>
          </w:p>
        </w:tc>
      </w:tr>
      <w:tr w:rsidR="00FE63C3">
        <w:trPr>
          <w:trHeight w:val="243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E96C2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 &amp; Construction Management</w:t>
            </w: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Operations Management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E96C27">
            <w:pPr>
              <w:spacing w:line="243" w:lineRule="exact"/>
              <w:ind w:left="7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 Office Suite, Team Management,</w:t>
            </w: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  <w:tr w:rsidR="00FE63C3">
        <w:trPr>
          <w:trHeight w:val="245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E96C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Earned Value Management</w:t>
            </w: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 Control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E96C27">
            <w:pPr>
              <w:ind w:left="7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 &amp; Interpersonal Skills</w:t>
            </w: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  <w:tr w:rsidR="00FE63C3">
        <w:trPr>
          <w:trHeight w:val="245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E96C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Strategic Planning</w:t>
            </w: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Contracts Negotiation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  <w:tr w:rsidR="00FE63C3">
        <w:trPr>
          <w:trHeight w:val="242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E96C2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Development</w:t>
            </w: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Value Engineering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  <w:tr w:rsidR="00FE63C3">
        <w:trPr>
          <w:trHeight w:val="245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E96C2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Mentoring</w:t>
            </w: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Subcontract Awards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  <w:tr w:rsidR="00FE63C3">
        <w:trPr>
          <w:trHeight w:val="252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DBE5F1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3025" w:type="dxa"/>
            <w:shd w:val="clear" w:color="auto" w:fill="DBE5F1"/>
            <w:vAlign w:val="bottom"/>
          </w:tcPr>
          <w:p w:rsidR="00FE63C3" w:rsidRDefault="00E96C2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Contractual Correspondence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  <w:tr w:rsidR="00FE63C3">
        <w:trPr>
          <w:trHeight w:val="110"/>
        </w:trPr>
        <w:tc>
          <w:tcPr>
            <w:tcW w:w="40" w:type="dxa"/>
            <w:vAlign w:val="bottom"/>
          </w:tcPr>
          <w:p w:rsidR="00FE63C3" w:rsidRDefault="00FE63C3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vAlign w:val="bottom"/>
          </w:tcPr>
          <w:p w:rsidR="00FE63C3" w:rsidRDefault="00FE63C3">
            <w:pPr>
              <w:rPr>
                <w:sz w:val="9"/>
                <w:szCs w:val="9"/>
              </w:rPr>
            </w:pPr>
          </w:p>
        </w:tc>
        <w:tc>
          <w:tcPr>
            <w:tcW w:w="3025" w:type="dxa"/>
            <w:vAlign w:val="bottom"/>
          </w:tcPr>
          <w:p w:rsidR="00FE63C3" w:rsidRDefault="00FE63C3">
            <w:pPr>
              <w:rPr>
                <w:sz w:val="9"/>
                <w:szCs w:val="9"/>
              </w:rPr>
            </w:pPr>
          </w:p>
        </w:tc>
        <w:tc>
          <w:tcPr>
            <w:tcW w:w="3475" w:type="dxa"/>
            <w:vAlign w:val="bottom"/>
          </w:tcPr>
          <w:p w:rsidR="00FE63C3" w:rsidRDefault="00FE63C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E63C3" w:rsidRDefault="00FE63C3">
            <w:pPr>
              <w:rPr>
                <w:sz w:val="9"/>
                <w:szCs w:val="9"/>
              </w:rPr>
            </w:pPr>
          </w:p>
        </w:tc>
      </w:tr>
      <w:tr w:rsidR="00FE63C3">
        <w:trPr>
          <w:trHeight w:val="120"/>
        </w:trPr>
        <w:tc>
          <w:tcPr>
            <w:tcW w:w="40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  <w:tc>
          <w:tcPr>
            <w:tcW w:w="3025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</w:tr>
    </w:tbl>
    <w:p w:rsidR="00FE63C3" w:rsidRDefault="00FE63C3">
      <w:pPr>
        <w:spacing w:line="18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240"/>
        <w:gridCol w:w="6680"/>
      </w:tblGrid>
      <w:tr w:rsidR="00FE63C3">
        <w:trPr>
          <w:trHeight w:val="290"/>
        </w:trPr>
        <w:tc>
          <w:tcPr>
            <w:tcW w:w="980" w:type="dxa"/>
            <w:vAlign w:val="bottom"/>
          </w:tcPr>
          <w:p w:rsidR="00FE63C3" w:rsidRDefault="00FE63C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FE63C3" w:rsidRDefault="00FE63C3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FE63C3" w:rsidRDefault="00E96C27">
            <w:pPr>
              <w:ind w:left="9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Career Progression</w:t>
            </w:r>
          </w:p>
        </w:tc>
      </w:tr>
      <w:tr w:rsidR="00FE63C3">
        <w:trPr>
          <w:trHeight w:val="319"/>
        </w:trPr>
        <w:tc>
          <w:tcPr>
            <w:tcW w:w="3220" w:type="dxa"/>
            <w:gridSpan w:val="2"/>
            <w:vAlign w:val="bottom"/>
          </w:tcPr>
          <w:p w:rsidR="00FE63C3" w:rsidRDefault="00E96C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Sr. Project Manager</w:t>
            </w:r>
          </w:p>
        </w:tc>
        <w:tc>
          <w:tcPr>
            <w:tcW w:w="6680" w:type="dxa"/>
            <w:vAlign w:val="bottom"/>
          </w:tcPr>
          <w:p w:rsidR="00FE63C3" w:rsidRDefault="00E96C27">
            <w:pPr>
              <w:ind w:left="4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November 2014 - Present</w:t>
            </w:r>
          </w:p>
        </w:tc>
      </w:tr>
      <w:tr w:rsidR="00FE63C3">
        <w:trPr>
          <w:trHeight w:val="245"/>
        </w:trPr>
        <w:tc>
          <w:tcPr>
            <w:tcW w:w="3220" w:type="dxa"/>
            <w:gridSpan w:val="2"/>
            <w:vAlign w:val="bottom"/>
          </w:tcPr>
          <w:p w:rsidR="00FE63C3" w:rsidRDefault="00E96C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 Basti &amp; Muktha LLC, UAE</w:t>
            </w:r>
          </w:p>
        </w:tc>
        <w:tc>
          <w:tcPr>
            <w:tcW w:w="668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  <w:tr w:rsidR="00FE63C3">
        <w:trPr>
          <w:trHeight w:val="456"/>
        </w:trPr>
        <w:tc>
          <w:tcPr>
            <w:tcW w:w="3220" w:type="dxa"/>
            <w:gridSpan w:val="2"/>
            <w:vAlign w:val="bottom"/>
          </w:tcPr>
          <w:p w:rsidR="00FE63C3" w:rsidRDefault="00E96C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 Project:</w:t>
            </w:r>
          </w:p>
        </w:tc>
        <w:tc>
          <w:tcPr>
            <w:tcW w:w="6680" w:type="dxa"/>
            <w:vAlign w:val="bottom"/>
          </w:tcPr>
          <w:p w:rsidR="00FE63C3" w:rsidRDefault="00FE63C3">
            <w:pPr>
              <w:rPr>
                <w:sz w:val="24"/>
                <w:szCs w:val="24"/>
              </w:rPr>
            </w:pPr>
          </w:p>
        </w:tc>
      </w:tr>
      <w:tr w:rsidR="00FE63C3">
        <w:trPr>
          <w:trHeight w:val="20"/>
        </w:trPr>
        <w:tc>
          <w:tcPr>
            <w:tcW w:w="980" w:type="dxa"/>
            <w:shd w:val="clear" w:color="auto" w:fill="000000"/>
            <w:vAlign w:val="bottom"/>
          </w:tcPr>
          <w:p w:rsidR="00FE63C3" w:rsidRDefault="00FE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FE63C3" w:rsidRDefault="00FE63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80" w:type="dxa"/>
            <w:vAlign w:val="bottom"/>
          </w:tcPr>
          <w:p w:rsidR="00FE63C3" w:rsidRDefault="00FE63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E63C3" w:rsidRDefault="00FE63C3">
      <w:pPr>
        <w:spacing w:line="59" w:lineRule="exact"/>
        <w:rPr>
          <w:sz w:val="24"/>
          <w:szCs w:val="24"/>
        </w:rPr>
      </w:pPr>
    </w:p>
    <w:p w:rsidR="00FE63C3" w:rsidRDefault="00E96C27">
      <w:pPr>
        <w:numPr>
          <w:ilvl w:val="0"/>
          <w:numId w:val="1"/>
        </w:numPr>
        <w:tabs>
          <w:tab w:val="left" w:pos="400"/>
        </w:tabs>
        <w:ind w:left="400" w:right="4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Luxury Golf Mansions + sub projects project at Dubai Hills Estate, Mohammed Bin Rashid City in Dubai valued at AED 440 million.</w:t>
      </w:r>
    </w:p>
    <w:p w:rsidR="00FE63C3" w:rsidRDefault="00FE63C3">
      <w:pPr>
        <w:spacing w:line="286" w:lineRule="exact"/>
        <w:rPr>
          <w:sz w:val="24"/>
          <w:szCs w:val="24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Achievements:</w:t>
      </w:r>
    </w:p>
    <w:p w:rsidR="00FE63C3" w:rsidRDefault="00E96C27">
      <w:pPr>
        <w:numPr>
          <w:ilvl w:val="0"/>
          <w:numId w:val="2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Successfully delivered individual units within the stipulated time frame.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2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Managed a suite of 30 unique </w:t>
      </w:r>
      <w:r>
        <w:rPr>
          <w:rFonts w:ascii="Calibri" w:eastAsia="Calibri" w:hAnsi="Calibri" w:cs="Calibri"/>
          <w:sz w:val="14"/>
          <w:szCs w:val="14"/>
        </w:rPr>
        <w:t>designs in a single project.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2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Finalized all subcontracts within the envisaged budget.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2"/>
        </w:numPr>
        <w:tabs>
          <w:tab w:val="left" w:pos="400"/>
        </w:tabs>
        <w:ind w:left="400" w:right="4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Maintained great liaison across all parties to project from the consultants, PMC, Client and Subcontractors respectively.</w:t>
      </w:r>
    </w:p>
    <w:p w:rsidR="00FE63C3" w:rsidRDefault="00FE63C3">
      <w:pPr>
        <w:spacing w:line="264" w:lineRule="exact"/>
        <w:rPr>
          <w:sz w:val="24"/>
          <w:szCs w:val="24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Responsibilities:</w:t>
      </w:r>
    </w:p>
    <w:p w:rsidR="00FE63C3" w:rsidRDefault="00FE63C3">
      <w:pPr>
        <w:spacing w:line="47" w:lineRule="exact"/>
        <w:rPr>
          <w:sz w:val="24"/>
          <w:szCs w:val="24"/>
        </w:rPr>
      </w:pPr>
    </w:p>
    <w:p w:rsidR="00FE63C3" w:rsidRDefault="00E96C27">
      <w:pPr>
        <w:numPr>
          <w:ilvl w:val="0"/>
          <w:numId w:val="3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Heading and managing </w:t>
      </w:r>
      <w:r>
        <w:rPr>
          <w:rFonts w:ascii="Calibri" w:eastAsia="Calibri" w:hAnsi="Calibri" w:cs="Calibri"/>
          <w:sz w:val="18"/>
          <w:szCs w:val="18"/>
        </w:rPr>
        <w:t>the main contractor’s team on projects, managing the Project Managers of sub projects and reporting to the top management on milestones achieved, variances and matters of strategic importance.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3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Overseeing development of project scope, schedule and budget b</w:t>
      </w:r>
      <w:r>
        <w:rPr>
          <w:rFonts w:ascii="Calibri" w:eastAsia="Calibri" w:hAnsi="Calibri" w:cs="Calibri"/>
          <w:sz w:val="18"/>
          <w:szCs w:val="18"/>
        </w:rPr>
        <w:t>aselines and ensuring the appropriate management of scope, cost, schedule, quality, risk, resources, communication and procurement.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3"/>
        </w:numPr>
        <w:tabs>
          <w:tab w:val="left" w:pos="400"/>
        </w:tabs>
        <w:spacing w:line="185" w:lineRule="auto"/>
        <w:ind w:left="400" w:right="40" w:hanging="368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Collaborating with program controls staff to ensure accurate cost and schedule forecasting and status reporting on all sub </w:t>
      </w:r>
      <w:r>
        <w:rPr>
          <w:rFonts w:ascii="Calibri" w:eastAsia="Calibri" w:hAnsi="Calibri" w:cs="Calibri"/>
          <w:sz w:val="19"/>
          <w:szCs w:val="19"/>
        </w:rPr>
        <w:t>projects, closely monitoring the critical path activities that will influence key milestones, tracking the overall project schedule and maintaining accountability for the financial performance of each project.</w:t>
      </w:r>
    </w:p>
    <w:p w:rsidR="00FE63C3" w:rsidRDefault="00FE63C3">
      <w:pPr>
        <w:spacing w:line="4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E63C3" w:rsidRDefault="00E96C27">
      <w:pPr>
        <w:numPr>
          <w:ilvl w:val="0"/>
          <w:numId w:val="3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Managing change control and contributing to c</w:t>
      </w:r>
      <w:r>
        <w:rPr>
          <w:rFonts w:ascii="Calibri" w:eastAsia="Calibri" w:hAnsi="Calibri" w:cs="Calibri"/>
          <w:sz w:val="18"/>
          <w:szCs w:val="18"/>
        </w:rPr>
        <w:t>ontinuous improvements initiatives all through the project life cycle as per changing dynamics.</w:t>
      </w:r>
    </w:p>
    <w:p w:rsidR="00FE63C3" w:rsidRDefault="00E96C27">
      <w:pPr>
        <w:numPr>
          <w:ilvl w:val="0"/>
          <w:numId w:val="3"/>
        </w:numPr>
        <w:tabs>
          <w:tab w:val="left" w:pos="400"/>
        </w:tabs>
        <w:spacing w:line="180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Administer project-related contracts, overseeing progress and approving all expenditures.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3"/>
        </w:numPr>
        <w:tabs>
          <w:tab w:val="left" w:pos="400"/>
        </w:tabs>
        <w:ind w:left="400" w:right="4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Lending full support to the effective implementation of the health &amp; </w:t>
      </w:r>
      <w:r>
        <w:rPr>
          <w:rFonts w:ascii="Calibri" w:eastAsia="Calibri" w:hAnsi="Calibri" w:cs="Calibri"/>
          <w:sz w:val="18"/>
          <w:szCs w:val="18"/>
        </w:rPr>
        <w:t>safety, quality and environmental management systems.</w:t>
      </w:r>
    </w:p>
    <w:p w:rsidR="00FE63C3" w:rsidRDefault="00FE63C3">
      <w:pPr>
        <w:spacing w:line="9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E63C3" w:rsidRDefault="00E96C27">
      <w:pPr>
        <w:numPr>
          <w:ilvl w:val="0"/>
          <w:numId w:val="3"/>
        </w:numPr>
        <w:tabs>
          <w:tab w:val="left" w:pos="400"/>
        </w:tabs>
        <w:spacing w:line="180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Developing and maintaining a communications plan for all project stakeholders and regularly updating the same in conjunction with the project team and the client.</w:t>
      </w:r>
    </w:p>
    <w:p w:rsidR="00FE63C3" w:rsidRDefault="00E96C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680085</wp:posOffset>
                </wp:positionV>
                <wp:extent cx="64465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53.55pt" to="503.85pt,53.55pt" o:allowincell="f" strokecolor="#808080" strokeweight="2.1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666115</wp:posOffset>
                </wp:positionV>
                <wp:extent cx="0" cy="4406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75pt,52.45pt" to="48.75pt,87.15pt" o:allowincell="f" strokecolor="#808080" strokeweight="2.16pt"/>
            </w:pict>
          </mc:Fallback>
        </mc:AlternateContent>
      </w:r>
    </w:p>
    <w:p w:rsidR="00FE63C3" w:rsidRDefault="00FE63C3">
      <w:pPr>
        <w:spacing w:line="200" w:lineRule="exact"/>
        <w:rPr>
          <w:sz w:val="24"/>
          <w:szCs w:val="24"/>
        </w:rPr>
      </w:pPr>
    </w:p>
    <w:p w:rsidR="00FE63C3" w:rsidRDefault="00FE63C3">
      <w:pPr>
        <w:spacing w:line="200" w:lineRule="exact"/>
        <w:rPr>
          <w:sz w:val="24"/>
          <w:szCs w:val="24"/>
        </w:rPr>
      </w:pPr>
    </w:p>
    <w:p w:rsidR="00FE63C3" w:rsidRDefault="00FE63C3">
      <w:pPr>
        <w:spacing w:line="200" w:lineRule="exact"/>
        <w:rPr>
          <w:sz w:val="24"/>
          <w:szCs w:val="24"/>
        </w:rPr>
      </w:pPr>
    </w:p>
    <w:p w:rsidR="00FE63C3" w:rsidRDefault="00FE63C3">
      <w:pPr>
        <w:spacing w:line="200" w:lineRule="exact"/>
        <w:rPr>
          <w:sz w:val="24"/>
          <w:szCs w:val="24"/>
        </w:rPr>
      </w:pPr>
    </w:p>
    <w:p w:rsidR="00FE63C3" w:rsidRDefault="00FE63C3">
      <w:pPr>
        <w:spacing w:line="265" w:lineRule="exact"/>
        <w:rPr>
          <w:sz w:val="24"/>
          <w:szCs w:val="24"/>
        </w:rPr>
      </w:pPr>
    </w:p>
    <w:p w:rsidR="00FE63C3" w:rsidRDefault="00E96C27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32"/>
          <w:szCs w:val="32"/>
        </w:rPr>
        <w:t>1</w:t>
      </w:r>
    </w:p>
    <w:p w:rsidR="00FE63C3" w:rsidRDefault="00FE63C3">
      <w:pPr>
        <w:sectPr w:rsidR="00FE63C3">
          <w:pgSz w:w="12240" w:h="15840"/>
          <w:pgMar w:top="480" w:right="1120" w:bottom="209" w:left="1120" w:header="0" w:footer="0" w:gutter="0"/>
          <w:cols w:space="720" w:equalWidth="0">
            <w:col w:w="10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760"/>
      </w:tblGrid>
      <w:tr w:rsidR="00FE63C3" w:rsidTr="00974C23">
        <w:trPr>
          <w:trHeight w:val="360"/>
        </w:trPr>
        <w:tc>
          <w:tcPr>
            <w:tcW w:w="2240" w:type="dxa"/>
            <w:vAlign w:val="bottom"/>
          </w:tcPr>
          <w:p w:rsidR="00FE63C3" w:rsidRDefault="00FE63C3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FE63C3" w:rsidRDefault="00E96C27" w:rsidP="00974C23">
            <w:pPr>
              <w:ind w:right="210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44"/>
                <w:szCs w:val="44"/>
              </w:rPr>
              <w:t xml:space="preserve">GOPAL </w:t>
            </w:r>
          </w:p>
        </w:tc>
      </w:tr>
      <w:tr w:rsidR="00FE63C3">
        <w:trPr>
          <w:trHeight w:val="217"/>
        </w:trPr>
        <w:tc>
          <w:tcPr>
            <w:tcW w:w="2240" w:type="dxa"/>
            <w:vAlign w:val="bottom"/>
          </w:tcPr>
          <w:p w:rsidR="00FE63C3" w:rsidRDefault="00FE63C3">
            <w:pPr>
              <w:rPr>
                <w:sz w:val="18"/>
                <w:szCs w:val="18"/>
              </w:rPr>
            </w:pPr>
          </w:p>
        </w:tc>
        <w:tc>
          <w:tcPr>
            <w:tcW w:w="7760" w:type="dxa"/>
            <w:vAlign w:val="bottom"/>
          </w:tcPr>
          <w:p w:rsidR="00FE63C3" w:rsidRDefault="00974C23" w:rsidP="00974C23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Email:  </w:t>
            </w:r>
            <w:hyperlink r:id="rId9" w:history="1">
              <w:r w:rsidRPr="00603F90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gopal.369835@2freemail.com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FE63C3">
        <w:trPr>
          <w:trHeight w:val="24"/>
        </w:trPr>
        <w:tc>
          <w:tcPr>
            <w:tcW w:w="2240" w:type="dxa"/>
            <w:vAlign w:val="bottom"/>
          </w:tcPr>
          <w:p w:rsidR="00FE63C3" w:rsidRDefault="00FE63C3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vAlign w:val="bottom"/>
          </w:tcPr>
          <w:p w:rsidR="00FE63C3" w:rsidRDefault="00FE63C3">
            <w:pPr>
              <w:rPr>
                <w:sz w:val="2"/>
                <w:szCs w:val="2"/>
              </w:rPr>
            </w:pPr>
          </w:p>
        </w:tc>
      </w:tr>
      <w:tr w:rsidR="00FE63C3">
        <w:trPr>
          <w:trHeight w:val="120"/>
        </w:trPr>
        <w:tc>
          <w:tcPr>
            <w:tcW w:w="2240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</w:tr>
      <w:tr w:rsidR="00FE63C3">
        <w:trPr>
          <w:trHeight w:val="238"/>
        </w:trPr>
        <w:tc>
          <w:tcPr>
            <w:tcW w:w="2240" w:type="dxa"/>
            <w:vAlign w:val="bottom"/>
          </w:tcPr>
          <w:p w:rsidR="00FE63C3" w:rsidRDefault="00E96C27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Various Designations</w:t>
            </w:r>
          </w:p>
        </w:tc>
        <w:tc>
          <w:tcPr>
            <w:tcW w:w="7760" w:type="dxa"/>
            <w:vAlign w:val="bottom"/>
          </w:tcPr>
          <w:p w:rsidR="00FE63C3" w:rsidRDefault="00E96C27">
            <w:pPr>
              <w:spacing w:line="238" w:lineRule="exact"/>
              <w:ind w:left="5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August 2002 – November 2014</w:t>
            </w:r>
          </w:p>
        </w:tc>
      </w:tr>
    </w:tbl>
    <w:p w:rsidR="00FE63C3" w:rsidRDefault="00E96C27">
      <w:pPr>
        <w:spacing w:line="23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Associated Constructions &amp; Investment Company LLC (ASCON), ETA – ASCON GROUP, UAE</w:t>
      </w:r>
    </w:p>
    <w:p w:rsidR="00FE63C3" w:rsidRDefault="00FE63C3">
      <w:pPr>
        <w:spacing w:line="246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Designations Held:</w:t>
      </w:r>
    </w:p>
    <w:p w:rsidR="00FE63C3" w:rsidRDefault="00E96C27">
      <w:pPr>
        <w:numPr>
          <w:ilvl w:val="0"/>
          <w:numId w:val="4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Asst General Manager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4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Senior Project </w:t>
      </w:r>
      <w:r>
        <w:rPr>
          <w:rFonts w:ascii="Calibri" w:eastAsia="Calibri" w:hAnsi="Calibri" w:cs="Calibri"/>
          <w:sz w:val="14"/>
          <w:szCs w:val="14"/>
        </w:rPr>
        <w:t>Manager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4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Project Manager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4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Construction Manager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4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Senior Project Engineer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4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Project Engineer</w:t>
      </w:r>
    </w:p>
    <w:p w:rsidR="00FE63C3" w:rsidRDefault="00FE63C3">
      <w:pPr>
        <w:spacing w:line="246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Projects Undertaken:</w:t>
      </w: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1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Al Ghurair City, Phase 2, 5 Star Hotel + Mall valued at AED 426 million.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Grandeur Residences, Palm Jumeirah, valued at AED 363 million.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Hi</w:t>
      </w:r>
      <w:r>
        <w:rPr>
          <w:rFonts w:ascii="Calibri" w:eastAsia="Calibri" w:hAnsi="Calibri" w:cs="Calibri"/>
          <w:sz w:val="14"/>
          <w:szCs w:val="14"/>
        </w:rPr>
        <w:t>gh Rise Silos for Raw Sugar Storage at JAFZA valued at AED 76 million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West Gate Office Building, Business Park valued at AED 358 million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Residential &amp; Commercial Development (Mixed use building) in Muteena valued at AED 72 million.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Star Metro Hotel </w:t>
      </w:r>
      <w:r>
        <w:rPr>
          <w:rFonts w:ascii="Calibri" w:eastAsia="Calibri" w:hAnsi="Calibri" w:cs="Calibri"/>
          <w:sz w:val="14"/>
          <w:szCs w:val="14"/>
        </w:rPr>
        <w:t>Apartments in Muteena valued at AED 86 million.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Residential Complex, Satwa valued at AED 134 million.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5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Loft Offices at Media City, valued at AED 56 million.</w:t>
      </w:r>
    </w:p>
    <w:p w:rsidR="00FE63C3" w:rsidRDefault="00FE63C3">
      <w:pPr>
        <w:spacing w:line="244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Achievements:</w:t>
      </w:r>
    </w:p>
    <w:p w:rsidR="00FE63C3" w:rsidRDefault="00E96C27">
      <w:pPr>
        <w:numPr>
          <w:ilvl w:val="0"/>
          <w:numId w:val="6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Delivered higher profit margins than expected on all projects undertaken.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6"/>
        </w:numPr>
        <w:tabs>
          <w:tab w:val="left" w:pos="400"/>
        </w:tabs>
        <w:ind w:left="400" w:right="4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Felicitated by the management for being part of the core team instrumental in the firm winning the Dubai Quality Award for 2011.</w:t>
      </w:r>
    </w:p>
    <w:p w:rsidR="00FE63C3" w:rsidRDefault="00FE63C3">
      <w:pPr>
        <w:spacing w:line="4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E63C3" w:rsidRDefault="00E96C27">
      <w:pPr>
        <w:numPr>
          <w:ilvl w:val="0"/>
          <w:numId w:val="6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Best Employee of the month in April 2005.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6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Nominated to head the company’s Strategic Planning Department.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6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Certified Internal </w:t>
      </w:r>
      <w:r>
        <w:rPr>
          <w:rFonts w:ascii="Calibri" w:eastAsia="Calibri" w:hAnsi="Calibri" w:cs="Calibri"/>
          <w:sz w:val="18"/>
          <w:szCs w:val="18"/>
        </w:rPr>
        <w:t>Auditor for ISO 9001, OHSAS 18001 and ISO 14001 standards and Management Representative for OHSAS 18001 &amp; ISO 14001 standards.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6"/>
        </w:numPr>
        <w:tabs>
          <w:tab w:val="left" w:pos="400"/>
        </w:tabs>
        <w:ind w:left="400" w:right="4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Contributed towards the preparation and implementation of the company’s Strategic and Business Development plans.</w:t>
      </w:r>
    </w:p>
    <w:p w:rsidR="00FE63C3" w:rsidRDefault="00FE63C3">
      <w:pPr>
        <w:spacing w:line="1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E63C3" w:rsidRDefault="00E96C27">
      <w:pPr>
        <w:numPr>
          <w:ilvl w:val="0"/>
          <w:numId w:val="6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Formulated an</w:t>
      </w:r>
      <w:r>
        <w:rPr>
          <w:rFonts w:ascii="Calibri" w:eastAsia="Calibri" w:hAnsi="Calibri" w:cs="Calibri"/>
          <w:sz w:val="16"/>
          <w:szCs w:val="16"/>
        </w:rPr>
        <w:t>d controlled the development of marketing content and collateral for the organization.</w:t>
      </w:r>
    </w:p>
    <w:p w:rsidR="00FE63C3" w:rsidRDefault="00FE63C3">
      <w:pPr>
        <w:spacing w:line="246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Overall Responsibilities:</w:t>
      </w:r>
    </w:p>
    <w:p w:rsidR="00FE63C3" w:rsidRDefault="00FE63C3">
      <w:pPr>
        <w:spacing w:line="45" w:lineRule="exact"/>
        <w:rPr>
          <w:sz w:val="20"/>
          <w:szCs w:val="20"/>
        </w:rPr>
      </w:pPr>
    </w:p>
    <w:p w:rsidR="00FE63C3" w:rsidRDefault="00E96C27">
      <w:pPr>
        <w:numPr>
          <w:ilvl w:val="0"/>
          <w:numId w:val="7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Assumed overall responsibility for project performance, in accordance with estimated operating budget, developed, justified and defended budg</w:t>
      </w:r>
      <w:r>
        <w:rPr>
          <w:rFonts w:ascii="Calibri" w:eastAsia="Calibri" w:hAnsi="Calibri" w:cs="Calibri"/>
          <w:sz w:val="18"/>
          <w:szCs w:val="18"/>
        </w:rPr>
        <w:t>et submissions.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7"/>
        </w:numPr>
        <w:tabs>
          <w:tab w:val="left" w:pos="400"/>
        </w:tabs>
        <w:ind w:left="400" w:right="40" w:hanging="368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Performed comprehensive project management, coordinated between various sub-contractors, formulated and maintained all necessary construction documentation and records to assure a consistent, legally sufficient and cost effective work plan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FE63C3" w:rsidRDefault="00FE63C3">
      <w:pPr>
        <w:spacing w:line="3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E63C3" w:rsidRDefault="00E96C27">
      <w:pPr>
        <w:numPr>
          <w:ilvl w:val="0"/>
          <w:numId w:val="7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Advised staff of factors to be considered in the preparation of technical specifications and construction details.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7"/>
        </w:numPr>
        <w:tabs>
          <w:tab w:val="left" w:pos="400"/>
        </w:tabs>
        <w:spacing w:line="180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Provided operational staff with resources and orientated them toward proficiency with specialized functional components and systems.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7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Resolved internal problems, issues and coordinated with team on methods to improve project productivity from a strategic perspective.</w:t>
      </w:r>
    </w:p>
    <w:p w:rsidR="00FE63C3" w:rsidRDefault="00E96C27">
      <w:pPr>
        <w:numPr>
          <w:ilvl w:val="0"/>
          <w:numId w:val="7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Involved in projects from mobilization to handover and final account settlements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7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Continually identifying and generating b</w:t>
      </w:r>
      <w:r>
        <w:rPr>
          <w:rFonts w:ascii="Calibri" w:eastAsia="Calibri" w:hAnsi="Calibri" w:cs="Calibri"/>
          <w:sz w:val="18"/>
          <w:szCs w:val="18"/>
        </w:rPr>
        <w:t>usiness by pursing business opportunities in agreed market sectors and cultivating relationships with existing clients.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7"/>
        </w:numPr>
        <w:tabs>
          <w:tab w:val="left" w:pos="400"/>
        </w:tabs>
        <w:ind w:left="400" w:right="40" w:hanging="368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Initiating and preparing prequalification documents and presentations to introduce the company capabilities to the new clients and gene</w:t>
      </w:r>
      <w:r>
        <w:rPr>
          <w:rFonts w:ascii="Calibri" w:eastAsia="Calibri" w:hAnsi="Calibri" w:cs="Calibri"/>
          <w:sz w:val="19"/>
          <w:szCs w:val="19"/>
        </w:rPr>
        <w:t>rating tender enquiries in addition to convening and participating in Lost Tender Analysis meetings.</w:t>
      </w:r>
    </w:p>
    <w:p w:rsidR="00FE63C3" w:rsidRDefault="00E96C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709930</wp:posOffset>
                </wp:positionV>
                <wp:extent cx="64465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55.9pt" to="503.85pt,55.9pt" o:allowincell="f" strokecolor="#808080" strokeweight="2.1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695960</wp:posOffset>
                </wp:positionV>
                <wp:extent cx="0" cy="4406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75pt,54.8pt" to="48.75pt,89.5pt" o:allowincell="f" strokecolor="#808080" strokeweight="2.16pt"/>
            </w:pict>
          </mc:Fallback>
        </mc:AlternateContent>
      </w: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312" w:lineRule="exact"/>
        <w:rPr>
          <w:sz w:val="20"/>
          <w:szCs w:val="20"/>
        </w:rPr>
      </w:pPr>
    </w:p>
    <w:p w:rsidR="00FE63C3" w:rsidRDefault="00E96C27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32"/>
          <w:szCs w:val="32"/>
        </w:rPr>
        <w:t>2</w:t>
      </w:r>
    </w:p>
    <w:p w:rsidR="00FE63C3" w:rsidRDefault="00FE63C3">
      <w:pPr>
        <w:sectPr w:rsidR="00FE63C3">
          <w:pgSz w:w="12240" w:h="15840"/>
          <w:pgMar w:top="480" w:right="1120" w:bottom="209" w:left="1120" w:header="0" w:footer="0" w:gutter="0"/>
          <w:cols w:space="720" w:equalWidth="0">
            <w:col w:w="10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2260"/>
      </w:tblGrid>
      <w:tr w:rsidR="00FE63C3">
        <w:trPr>
          <w:trHeight w:val="531"/>
        </w:trPr>
        <w:tc>
          <w:tcPr>
            <w:tcW w:w="7740" w:type="dxa"/>
            <w:vAlign w:val="bottom"/>
          </w:tcPr>
          <w:p w:rsidR="00FE63C3" w:rsidRDefault="00E96C27" w:rsidP="00974C23">
            <w:pPr>
              <w:ind w:left="2133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44"/>
                <w:szCs w:val="44"/>
              </w:rPr>
              <w:lastRenderedPageBreak/>
              <w:t xml:space="preserve">GOPAL </w:t>
            </w:r>
          </w:p>
        </w:tc>
        <w:tc>
          <w:tcPr>
            <w:tcW w:w="2260" w:type="dxa"/>
            <w:vAlign w:val="bottom"/>
          </w:tcPr>
          <w:p w:rsidR="00FE63C3" w:rsidRDefault="00FE63C3">
            <w:pPr>
              <w:rPr>
                <w:sz w:val="24"/>
                <w:szCs w:val="24"/>
              </w:rPr>
            </w:pPr>
          </w:p>
        </w:tc>
      </w:tr>
      <w:tr w:rsidR="00FE63C3">
        <w:trPr>
          <w:trHeight w:val="217"/>
        </w:trPr>
        <w:tc>
          <w:tcPr>
            <w:tcW w:w="7740" w:type="dxa"/>
            <w:vAlign w:val="bottom"/>
          </w:tcPr>
          <w:p w:rsidR="00FE63C3" w:rsidRDefault="00974C23" w:rsidP="00974C23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Email:  </w:t>
            </w:r>
            <w:hyperlink r:id="rId10" w:history="1">
              <w:r w:rsidRPr="00603F90">
                <w:rPr>
                  <w:rStyle w:val="Hyperlink"/>
                  <w:rFonts w:ascii="Tahoma" w:eastAsia="Tahoma" w:hAnsi="Tahoma" w:cs="Tahoma"/>
                  <w:sz w:val="18"/>
                  <w:szCs w:val="18"/>
                </w:rPr>
                <w:t>gopal.369835@2freemail.com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vAlign w:val="bottom"/>
          </w:tcPr>
          <w:p w:rsidR="00FE63C3" w:rsidRDefault="00FE63C3">
            <w:pPr>
              <w:rPr>
                <w:sz w:val="18"/>
                <w:szCs w:val="18"/>
              </w:rPr>
            </w:pPr>
          </w:p>
        </w:tc>
      </w:tr>
      <w:tr w:rsidR="00FE63C3">
        <w:trPr>
          <w:trHeight w:val="24"/>
        </w:trPr>
        <w:tc>
          <w:tcPr>
            <w:tcW w:w="7740" w:type="dxa"/>
            <w:vAlign w:val="bottom"/>
          </w:tcPr>
          <w:p w:rsidR="00FE63C3" w:rsidRDefault="00FE63C3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Align w:val="bottom"/>
          </w:tcPr>
          <w:p w:rsidR="00FE63C3" w:rsidRDefault="00FE63C3">
            <w:pPr>
              <w:rPr>
                <w:sz w:val="2"/>
                <w:szCs w:val="2"/>
              </w:rPr>
            </w:pPr>
          </w:p>
        </w:tc>
      </w:tr>
      <w:tr w:rsidR="00FE63C3">
        <w:trPr>
          <w:trHeight w:val="120"/>
        </w:trPr>
        <w:tc>
          <w:tcPr>
            <w:tcW w:w="7740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C6D9F1"/>
            <w:vAlign w:val="bottom"/>
          </w:tcPr>
          <w:p w:rsidR="00FE63C3" w:rsidRDefault="00FE63C3">
            <w:pPr>
              <w:rPr>
                <w:sz w:val="10"/>
                <w:szCs w:val="10"/>
              </w:rPr>
            </w:pPr>
          </w:p>
        </w:tc>
      </w:tr>
      <w:tr w:rsidR="00FE63C3">
        <w:trPr>
          <w:trHeight w:val="238"/>
        </w:trPr>
        <w:tc>
          <w:tcPr>
            <w:tcW w:w="7740" w:type="dxa"/>
            <w:vAlign w:val="bottom"/>
          </w:tcPr>
          <w:p w:rsidR="00FE63C3" w:rsidRDefault="00E96C27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Various Designations</w:t>
            </w:r>
          </w:p>
        </w:tc>
        <w:tc>
          <w:tcPr>
            <w:tcW w:w="2260" w:type="dxa"/>
            <w:vAlign w:val="bottom"/>
          </w:tcPr>
          <w:p w:rsidR="00FE63C3" w:rsidRDefault="00E96C27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July 1998 – July 2002</w:t>
            </w:r>
          </w:p>
        </w:tc>
      </w:tr>
      <w:tr w:rsidR="00FE63C3">
        <w:trPr>
          <w:trHeight w:val="242"/>
        </w:trPr>
        <w:tc>
          <w:tcPr>
            <w:tcW w:w="7740" w:type="dxa"/>
            <w:vAlign w:val="bottom"/>
          </w:tcPr>
          <w:p w:rsidR="00FE63C3" w:rsidRDefault="00E96C27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Vijay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Industries and Projects Ltd., India</w:t>
            </w:r>
          </w:p>
        </w:tc>
        <w:tc>
          <w:tcPr>
            <w:tcW w:w="2260" w:type="dxa"/>
            <w:vAlign w:val="bottom"/>
          </w:tcPr>
          <w:p w:rsidR="00FE63C3" w:rsidRDefault="00FE63C3">
            <w:pPr>
              <w:rPr>
                <w:sz w:val="21"/>
                <w:szCs w:val="21"/>
              </w:rPr>
            </w:pPr>
          </w:p>
        </w:tc>
      </w:tr>
    </w:tbl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90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Designations Held:</w:t>
      </w:r>
    </w:p>
    <w:p w:rsidR="00FE63C3" w:rsidRDefault="00E96C27">
      <w:pPr>
        <w:numPr>
          <w:ilvl w:val="0"/>
          <w:numId w:val="8"/>
        </w:numPr>
        <w:tabs>
          <w:tab w:val="left" w:pos="400"/>
        </w:tabs>
        <w:spacing w:line="180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Senior Project Engineer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8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Project Engineer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8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Junior Engineer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8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Trainee Engineer</w:t>
      </w:r>
    </w:p>
    <w:p w:rsidR="00FE63C3" w:rsidRDefault="00FE63C3">
      <w:pPr>
        <w:spacing w:line="244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Key Responsibilities:</w:t>
      </w:r>
    </w:p>
    <w:p w:rsidR="00FE63C3" w:rsidRDefault="00FE63C3">
      <w:pPr>
        <w:spacing w:line="47" w:lineRule="exact"/>
        <w:rPr>
          <w:sz w:val="20"/>
          <w:szCs w:val="20"/>
        </w:rPr>
      </w:pPr>
    </w:p>
    <w:p w:rsidR="00FE63C3" w:rsidRDefault="00E96C27">
      <w:pPr>
        <w:numPr>
          <w:ilvl w:val="0"/>
          <w:numId w:val="9"/>
        </w:numPr>
        <w:tabs>
          <w:tab w:val="left" w:pos="400"/>
        </w:tabs>
        <w:spacing w:line="180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Spearheaded and integrated all efforts of engineering, planning and resource mobilization toward</w:t>
      </w:r>
      <w:r>
        <w:rPr>
          <w:rFonts w:ascii="Calibri" w:eastAsia="Calibri" w:hAnsi="Calibri" w:cs="Calibri"/>
          <w:sz w:val="18"/>
          <w:szCs w:val="18"/>
        </w:rPr>
        <w:t xml:space="preserve"> project execution in line with client specifications.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9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 charge of design coordination between various disciplines, performing civil design, planning, organizing and monitoring construction works.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9"/>
        </w:numPr>
        <w:tabs>
          <w:tab w:val="left" w:pos="400"/>
        </w:tabs>
        <w:spacing w:line="180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Determined projected time frames, opening projections, c</w:t>
      </w:r>
      <w:r>
        <w:rPr>
          <w:rFonts w:ascii="Calibri" w:eastAsia="Calibri" w:hAnsi="Calibri" w:cs="Calibri"/>
          <w:sz w:val="18"/>
          <w:szCs w:val="18"/>
        </w:rPr>
        <w:t>onstruction issues and monitored projects to ensure timely completion of project within budgetary constraints.</w:t>
      </w:r>
    </w:p>
    <w:p w:rsidR="00FE63C3" w:rsidRDefault="00FE63C3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9"/>
        </w:numPr>
        <w:tabs>
          <w:tab w:val="left" w:pos="400"/>
        </w:tabs>
        <w:spacing w:line="181" w:lineRule="auto"/>
        <w:ind w:left="400" w:right="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Communicated project status and costs to senior management, periodically conducted site visits to verify workflow, quality of work and mitigate </w:t>
      </w:r>
      <w:r>
        <w:rPr>
          <w:rFonts w:ascii="Calibri" w:eastAsia="Calibri" w:hAnsi="Calibri" w:cs="Calibri"/>
          <w:sz w:val="18"/>
          <w:szCs w:val="18"/>
        </w:rPr>
        <w:t>any resultant issues.</w:t>
      </w:r>
    </w:p>
    <w:p w:rsidR="00FE63C3" w:rsidRDefault="00E96C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6347460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3C3" w:rsidRDefault="00FE63C3">
      <w:pPr>
        <w:spacing w:line="125" w:lineRule="exact"/>
        <w:rPr>
          <w:sz w:val="20"/>
          <w:szCs w:val="20"/>
        </w:rPr>
      </w:pPr>
    </w:p>
    <w:p w:rsidR="00FE63C3" w:rsidRDefault="00E96C27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Education &amp; Credentials</w:t>
      </w:r>
    </w:p>
    <w:p w:rsidR="00FE63C3" w:rsidRDefault="00FE63C3">
      <w:pPr>
        <w:sectPr w:rsidR="00FE63C3">
          <w:pgSz w:w="12240" w:h="15840"/>
          <w:pgMar w:top="480" w:right="1120" w:bottom="209" w:left="1120" w:header="0" w:footer="0" w:gutter="0"/>
          <w:cols w:space="720" w:equalWidth="0">
            <w:col w:w="10000"/>
          </w:cols>
        </w:sectPr>
      </w:pPr>
    </w:p>
    <w:p w:rsidR="00FE63C3" w:rsidRDefault="00FE63C3">
      <w:pPr>
        <w:spacing w:line="250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BITS Pilani, Dubai Campus, UAE</w:t>
      </w:r>
    </w:p>
    <w:p w:rsidR="00FE63C3" w:rsidRDefault="00E96C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3C3" w:rsidRDefault="00FE63C3">
      <w:pPr>
        <w:spacing w:line="218" w:lineRule="exact"/>
        <w:rPr>
          <w:sz w:val="20"/>
          <w:szCs w:val="20"/>
        </w:rPr>
      </w:pPr>
    </w:p>
    <w:p w:rsidR="00FE63C3" w:rsidRDefault="00E96C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June 2013</w:t>
      </w:r>
    </w:p>
    <w:p w:rsidR="00FE63C3" w:rsidRDefault="00FE63C3">
      <w:pPr>
        <w:spacing w:line="13" w:lineRule="exact"/>
        <w:rPr>
          <w:sz w:val="20"/>
          <w:szCs w:val="20"/>
        </w:rPr>
      </w:pPr>
    </w:p>
    <w:p w:rsidR="00FE63C3" w:rsidRDefault="00FE63C3">
      <w:pPr>
        <w:sectPr w:rsidR="00FE63C3">
          <w:type w:val="continuous"/>
          <w:pgSz w:w="12240" w:h="15840"/>
          <w:pgMar w:top="480" w:right="1120" w:bottom="209" w:left="1120" w:header="0" w:footer="0" w:gutter="0"/>
          <w:cols w:num="2" w:space="720" w:equalWidth="0">
            <w:col w:w="8400" w:space="720"/>
            <w:col w:w="880"/>
          </w:cols>
        </w:sect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MBA in Project Management</w:t>
      </w:r>
    </w:p>
    <w:p w:rsidR="00FE63C3" w:rsidRDefault="00FE63C3">
      <w:pPr>
        <w:sectPr w:rsidR="00FE63C3">
          <w:type w:val="continuous"/>
          <w:pgSz w:w="12240" w:h="15840"/>
          <w:pgMar w:top="480" w:right="1120" w:bottom="209" w:left="1120" w:header="0" w:footer="0" w:gutter="0"/>
          <w:cols w:space="720" w:equalWidth="0">
            <w:col w:w="10000"/>
          </w:cols>
        </w:sectPr>
      </w:pPr>
    </w:p>
    <w:p w:rsidR="00FE63C3" w:rsidRDefault="00FE63C3">
      <w:pPr>
        <w:spacing w:line="13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Manipal Institute of Technology, Mangalore University, India</w:t>
      </w:r>
    </w:p>
    <w:p w:rsidR="00FE63C3" w:rsidRDefault="00E96C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63C3" w:rsidRDefault="00E96C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June </w:t>
      </w:r>
      <w:r>
        <w:rPr>
          <w:rFonts w:ascii="Calibri" w:eastAsia="Calibri" w:hAnsi="Calibri" w:cs="Calibri"/>
          <w:b/>
          <w:bCs/>
          <w:sz w:val="20"/>
          <w:szCs w:val="20"/>
        </w:rPr>
        <w:t>1998</w:t>
      </w:r>
    </w:p>
    <w:p w:rsidR="00FE63C3" w:rsidRDefault="00FE63C3">
      <w:pPr>
        <w:spacing w:line="1" w:lineRule="exact"/>
        <w:rPr>
          <w:sz w:val="20"/>
          <w:szCs w:val="20"/>
        </w:rPr>
      </w:pPr>
    </w:p>
    <w:p w:rsidR="00FE63C3" w:rsidRDefault="00FE63C3">
      <w:pPr>
        <w:sectPr w:rsidR="00FE63C3">
          <w:type w:val="continuous"/>
          <w:pgSz w:w="12240" w:h="15840"/>
          <w:pgMar w:top="480" w:right="1120" w:bottom="209" w:left="1120" w:header="0" w:footer="0" w:gutter="0"/>
          <w:cols w:num="2" w:space="720" w:equalWidth="0">
            <w:col w:w="8400" w:space="720"/>
            <w:col w:w="880"/>
          </w:cols>
        </w:sectPr>
      </w:pPr>
    </w:p>
    <w:p w:rsidR="00FE63C3" w:rsidRDefault="00E96C27">
      <w:pPr>
        <w:spacing w:line="23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Bachelor of Engineering in Civil Engineering</w:t>
      </w:r>
    </w:p>
    <w:p w:rsidR="00FE63C3" w:rsidRDefault="00FE63C3">
      <w:pPr>
        <w:spacing w:line="1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 Management Institute, USA</w:t>
      </w:r>
    </w:p>
    <w:p w:rsidR="00FE63C3" w:rsidRDefault="00FE63C3">
      <w:pPr>
        <w:spacing w:line="13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Certified Project Management Professional (PMP)</w:t>
      </w:r>
    </w:p>
    <w:p w:rsidR="00FE63C3" w:rsidRDefault="00FE63C3">
      <w:pPr>
        <w:spacing w:line="1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Dubai Municipality</w:t>
      </w:r>
    </w:p>
    <w:p w:rsidR="00FE63C3" w:rsidRDefault="00E96C27">
      <w:pPr>
        <w:spacing w:line="23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Certified Engineer</w:t>
      </w:r>
    </w:p>
    <w:p w:rsidR="00FE63C3" w:rsidRDefault="00FE63C3">
      <w:pPr>
        <w:sectPr w:rsidR="00FE63C3">
          <w:type w:val="continuous"/>
          <w:pgSz w:w="12240" w:h="15840"/>
          <w:pgMar w:top="480" w:right="1120" w:bottom="209" w:left="1120" w:header="0" w:footer="0" w:gutter="0"/>
          <w:cols w:space="720" w:equalWidth="0">
            <w:col w:w="10000"/>
          </w:cols>
        </w:sectPr>
      </w:pPr>
    </w:p>
    <w:p w:rsidR="00FE63C3" w:rsidRDefault="00FE63C3">
      <w:pPr>
        <w:spacing w:line="246" w:lineRule="exact"/>
        <w:rPr>
          <w:sz w:val="20"/>
          <w:szCs w:val="20"/>
        </w:rPr>
      </w:pPr>
    </w:p>
    <w:p w:rsidR="00FE63C3" w:rsidRDefault="00E96C2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Training Attended:</w:t>
      </w:r>
    </w:p>
    <w:p w:rsidR="00FE63C3" w:rsidRDefault="00E96C27">
      <w:pPr>
        <w:numPr>
          <w:ilvl w:val="0"/>
          <w:numId w:val="10"/>
        </w:numPr>
        <w:tabs>
          <w:tab w:val="left" w:pos="400"/>
        </w:tabs>
        <w:spacing w:line="182" w:lineRule="auto"/>
        <w:ind w:left="40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Project Man</w:t>
      </w:r>
      <w:r>
        <w:rPr>
          <w:rFonts w:ascii="Calibri" w:eastAsia="Calibri" w:hAnsi="Calibri" w:cs="Calibri"/>
          <w:sz w:val="16"/>
          <w:szCs w:val="16"/>
        </w:rPr>
        <w:t>agement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FE63C3" w:rsidRDefault="00E96C27">
      <w:pPr>
        <w:numPr>
          <w:ilvl w:val="0"/>
          <w:numId w:val="10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Construction Management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0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Strategic Management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0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Risk Management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0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Budgeting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0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Cost Control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0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Commercial aspects of projects</w:t>
      </w:r>
    </w:p>
    <w:p w:rsidR="00FE63C3" w:rsidRDefault="00E96C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347460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3C3" w:rsidRDefault="00FE63C3">
      <w:pPr>
        <w:spacing w:line="125" w:lineRule="exact"/>
        <w:rPr>
          <w:sz w:val="20"/>
          <w:szCs w:val="20"/>
        </w:rPr>
      </w:pPr>
    </w:p>
    <w:p w:rsidR="00FE63C3" w:rsidRDefault="00E96C27">
      <w:pPr>
        <w:ind w:right="-37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Memberships</w:t>
      </w:r>
    </w:p>
    <w:p w:rsidR="00FE63C3" w:rsidRDefault="00E96C27">
      <w:pPr>
        <w:numPr>
          <w:ilvl w:val="0"/>
          <w:numId w:val="11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Society of Engineers, UAE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E63C3" w:rsidRDefault="00E96C27">
      <w:pPr>
        <w:numPr>
          <w:ilvl w:val="0"/>
          <w:numId w:val="11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Project Management Institute, USA</w:t>
      </w:r>
    </w:p>
    <w:p w:rsidR="00FE63C3" w:rsidRDefault="00E96C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347460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3C3" w:rsidRDefault="00FE63C3">
      <w:pPr>
        <w:spacing w:line="127" w:lineRule="exact"/>
        <w:rPr>
          <w:sz w:val="20"/>
          <w:szCs w:val="20"/>
        </w:rPr>
      </w:pPr>
    </w:p>
    <w:p w:rsidR="00FE63C3" w:rsidRDefault="00E96C27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Personal Information</w:t>
      </w:r>
    </w:p>
    <w:p w:rsidR="00FE63C3" w:rsidRDefault="00E96C27">
      <w:pPr>
        <w:numPr>
          <w:ilvl w:val="0"/>
          <w:numId w:val="12"/>
        </w:numPr>
        <w:tabs>
          <w:tab w:val="left" w:pos="400"/>
        </w:tabs>
        <w:spacing w:line="183" w:lineRule="auto"/>
        <w:ind w:left="40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Date of Birth: </w:t>
      </w:r>
      <w:r>
        <w:rPr>
          <w:rFonts w:ascii="Calibri" w:eastAsia="Calibri" w:hAnsi="Calibri" w:cs="Calibri"/>
          <w:sz w:val="18"/>
          <w:szCs w:val="18"/>
        </w:rPr>
        <w:t>30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December 1976</w:t>
      </w:r>
    </w:p>
    <w:p w:rsidR="00FE63C3" w:rsidRDefault="00FE63C3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E63C3" w:rsidRDefault="00E96C27">
      <w:pPr>
        <w:numPr>
          <w:ilvl w:val="0"/>
          <w:numId w:val="12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Nationality: </w:t>
      </w:r>
      <w:r>
        <w:rPr>
          <w:rFonts w:ascii="Calibri" w:eastAsia="Calibri" w:hAnsi="Calibri" w:cs="Calibri"/>
          <w:sz w:val="14"/>
          <w:szCs w:val="14"/>
        </w:rPr>
        <w:t>Indian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2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Marital Status: </w:t>
      </w:r>
      <w:r>
        <w:rPr>
          <w:rFonts w:ascii="Calibri" w:eastAsia="Calibri" w:hAnsi="Calibri" w:cs="Calibri"/>
          <w:sz w:val="14"/>
          <w:szCs w:val="14"/>
        </w:rPr>
        <w:t>Married</w:t>
      </w:r>
    </w:p>
    <w:p w:rsidR="00FE63C3" w:rsidRDefault="00FE63C3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2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Language Fluency: </w:t>
      </w:r>
      <w:r>
        <w:rPr>
          <w:rFonts w:ascii="Calibri" w:eastAsia="Calibri" w:hAnsi="Calibri" w:cs="Calibri"/>
          <w:sz w:val="14"/>
          <w:szCs w:val="14"/>
        </w:rPr>
        <w:t>English and Hindi</w:t>
      </w:r>
    </w:p>
    <w:p w:rsidR="00FE63C3" w:rsidRDefault="00FE63C3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FE63C3" w:rsidRDefault="00E96C27">
      <w:pPr>
        <w:numPr>
          <w:ilvl w:val="0"/>
          <w:numId w:val="12"/>
        </w:numPr>
        <w:tabs>
          <w:tab w:val="left" w:pos="400"/>
        </w:tabs>
        <w:spacing w:line="185" w:lineRule="auto"/>
        <w:ind w:left="400" w:hanging="368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Driving License: </w:t>
      </w:r>
      <w:r>
        <w:rPr>
          <w:rFonts w:ascii="Calibri" w:eastAsia="Calibri" w:hAnsi="Calibri" w:cs="Calibri"/>
          <w:sz w:val="14"/>
          <w:szCs w:val="14"/>
        </w:rPr>
        <w:t>UAE</w:t>
      </w:r>
    </w:p>
    <w:p w:rsidR="00FE63C3" w:rsidRDefault="00E96C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802005</wp:posOffset>
                </wp:positionV>
                <wp:extent cx="64465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63.15pt" to="503.85pt,63.15pt" o:allowincell="f" strokecolor="#808080" strokeweight="2.1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788035</wp:posOffset>
                </wp:positionV>
                <wp:extent cx="0" cy="4406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0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75pt,62.05pt" to="48.75pt,96.75pt" o:allowincell="f" strokecolor="#808080" strokeweight="2.16pt"/>
            </w:pict>
          </mc:Fallback>
        </mc:AlternateContent>
      </w: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00" w:lineRule="exact"/>
        <w:rPr>
          <w:sz w:val="20"/>
          <w:szCs w:val="20"/>
        </w:rPr>
      </w:pPr>
    </w:p>
    <w:p w:rsidR="00FE63C3" w:rsidRDefault="00FE63C3">
      <w:pPr>
        <w:spacing w:line="257" w:lineRule="exact"/>
        <w:rPr>
          <w:sz w:val="20"/>
          <w:szCs w:val="20"/>
        </w:rPr>
      </w:pPr>
    </w:p>
    <w:p w:rsidR="00974C23" w:rsidRDefault="00974C23">
      <w:pPr>
        <w:spacing w:line="257" w:lineRule="exact"/>
        <w:rPr>
          <w:sz w:val="20"/>
          <w:szCs w:val="20"/>
        </w:rPr>
      </w:pPr>
      <w:bookmarkStart w:id="0" w:name="_GoBack"/>
      <w:bookmarkEnd w:id="0"/>
    </w:p>
    <w:p w:rsidR="00FE63C3" w:rsidRPr="00974C23" w:rsidRDefault="00E96C27" w:rsidP="00974C23">
      <w:pPr>
        <w:ind w:left="700"/>
        <w:rPr>
          <w:sz w:val="20"/>
          <w:szCs w:val="20"/>
        </w:rPr>
        <w:sectPr w:rsidR="00FE63C3" w:rsidRPr="00974C23">
          <w:type w:val="continuous"/>
          <w:pgSz w:w="12240" w:h="15840"/>
          <w:pgMar w:top="480" w:right="1120" w:bottom="209" w:left="1120" w:header="0" w:footer="0" w:gutter="0"/>
          <w:cols w:space="720" w:equalWidth="0">
            <w:col w:w="10000"/>
          </w:cols>
        </w:sectPr>
      </w:pPr>
      <w:r>
        <w:rPr>
          <w:rFonts w:ascii="Calibri" w:eastAsia="Calibri" w:hAnsi="Calibri" w:cs="Calibri"/>
          <w:b/>
          <w:bCs/>
          <w:color w:val="4F81BD"/>
          <w:sz w:val="32"/>
          <w:szCs w:val="32"/>
        </w:rPr>
        <w:t>3</w:t>
      </w:r>
    </w:p>
    <w:p w:rsidR="00E96C27" w:rsidRDefault="00E96C27"/>
    <w:sectPr w:rsidR="00E96C2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B72504C"/>
    <w:lvl w:ilvl="0" w:tplc="DA06BF3C">
      <w:start w:val="1"/>
      <w:numFmt w:val="bullet"/>
      <w:lvlText w:val=""/>
      <w:lvlJc w:val="left"/>
    </w:lvl>
    <w:lvl w:ilvl="1" w:tplc="E4E6F80E">
      <w:numFmt w:val="decimal"/>
      <w:lvlText w:val=""/>
      <w:lvlJc w:val="left"/>
    </w:lvl>
    <w:lvl w:ilvl="2" w:tplc="E2DC9488">
      <w:numFmt w:val="decimal"/>
      <w:lvlText w:val=""/>
      <w:lvlJc w:val="left"/>
    </w:lvl>
    <w:lvl w:ilvl="3" w:tplc="9F7CFA72">
      <w:numFmt w:val="decimal"/>
      <w:lvlText w:val=""/>
      <w:lvlJc w:val="left"/>
    </w:lvl>
    <w:lvl w:ilvl="4" w:tplc="A6F0C048">
      <w:numFmt w:val="decimal"/>
      <w:lvlText w:val=""/>
      <w:lvlJc w:val="left"/>
    </w:lvl>
    <w:lvl w:ilvl="5" w:tplc="111477DA">
      <w:numFmt w:val="decimal"/>
      <w:lvlText w:val=""/>
      <w:lvlJc w:val="left"/>
    </w:lvl>
    <w:lvl w:ilvl="6" w:tplc="6F60260A">
      <w:numFmt w:val="decimal"/>
      <w:lvlText w:val=""/>
      <w:lvlJc w:val="left"/>
    </w:lvl>
    <w:lvl w:ilvl="7" w:tplc="92E26526">
      <w:numFmt w:val="decimal"/>
      <w:lvlText w:val=""/>
      <w:lvlJc w:val="left"/>
    </w:lvl>
    <w:lvl w:ilvl="8" w:tplc="F3F497EA">
      <w:numFmt w:val="decimal"/>
      <w:lvlText w:val=""/>
      <w:lvlJc w:val="left"/>
    </w:lvl>
  </w:abstractNum>
  <w:abstractNum w:abstractNumId="1">
    <w:nsid w:val="000001EB"/>
    <w:multiLevelType w:val="hybridMultilevel"/>
    <w:tmpl w:val="A046237C"/>
    <w:lvl w:ilvl="0" w:tplc="D0B07D1A">
      <w:start w:val="1"/>
      <w:numFmt w:val="bullet"/>
      <w:lvlText w:val=""/>
      <w:lvlJc w:val="left"/>
    </w:lvl>
    <w:lvl w:ilvl="1" w:tplc="F59287A4">
      <w:numFmt w:val="decimal"/>
      <w:lvlText w:val=""/>
      <w:lvlJc w:val="left"/>
    </w:lvl>
    <w:lvl w:ilvl="2" w:tplc="2B641524">
      <w:numFmt w:val="decimal"/>
      <w:lvlText w:val=""/>
      <w:lvlJc w:val="left"/>
    </w:lvl>
    <w:lvl w:ilvl="3" w:tplc="771033E0">
      <w:numFmt w:val="decimal"/>
      <w:lvlText w:val=""/>
      <w:lvlJc w:val="left"/>
    </w:lvl>
    <w:lvl w:ilvl="4" w:tplc="96F6F082">
      <w:numFmt w:val="decimal"/>
      <w:lvlText w:val=""/>
      <w:lvlJc w:val="left"/>
    </w:lvl>
    <w:lvl w:ilvl="5" w:tplc="63005A30">
      <w:numFmt w:val="decimal"/>
      <w:lvlText w:val=""/>
      <w:lvlJc w:val="left"/>
    </w:lvl>
    <w:lvl w:ilvl="6" w:tplc="7BA02722">
      <w:numFmt w:val="decimal"/>
      <w:lvlText w:val=""/>
      <w:lvlJc w:val="left"/>
    </w:lvl>
    <w:lvl w:ilvl="7" w:tplc="C618FC52">
      <w:numFmt w:val="decimal"/>
      <w:lvlText w:val=""/>
      <w:lvlJc w:val="left"/>
    </w:lvl>
    <w:lvl w:ilvl="8" w:tplc="959C213E">
      <w:numFmt w:val="decimal"/>
      <w:lvlText w:val=""/>
      <w:lvlJc w:val="left"/>
    </w:lvl>
  </w:abstractNum>
  <w:abstractNum w:abstractNumId="2">
    <w:nsid w:val="00000BB3"/>
    <w:multiLevelType w:val="hybridMultilevel"/>
    <w:tmpl w:val="B8AE6256"/>
    <w:lvl w:ilvl="0" w:tplc="D7E4F542">
      <w:start w:val="1"/>
      <w:numFmt w:val="bullet"/>
      <w:lvlText w:val=""/>
      <w:lvlJc w:val="left"/>
    </w:lvl>
    <w:lvl w:ilvl="1" w:tplc="922AE97A">
      <w:numFmt w:val="decimal"/>
      <w:lvlText w:val=""/>
      <w:lvlJc w:val="left"/>
    </w:lvl>
    <w:lvl w:ilvl="2" w:tplc="A1F22CCC">
      <w:numFmt w:val="decimal"/>
      <w:lvlText w:val=""/>
      <w:lvlJc w:val="left"/>
    </w:lvl>
    <w:lvl w:ilvl="3" w:tplc="ED348860">
      <w:numFmt w:val="decimal"/>
      <w:lvlText w:val=""/>
      <w:lvlJc w:val="left"/>
    </w:lvl>
    <w:lvl w:ilvl="4" w:tplc="4A6A2A6C">
      <w:numFmt w:val="decimal"/>
      <w:lvlText w:val=""/>
      <w:lvlJc w:val="left"/>
    </w:lvl>
    <w:lvl w:ilvl="5" w:tplc="EEC6BAF2">
      <w:numFmt w:val="decimal"/>
      <w:lvlText w:val=""/>
      <w:lvlJc w:val="left"/>
    </w:lvl>
    <w:lvl w:ilvl="6" w:tplc="7662EB82">
      <w:numFmt w:val="decimal"/>
      <w:lvlText w:val=""/>
      <w:lvlJc w:val="left"/>
    </w:lvl>
    <w:lvl w:ilvl="7" w:tplc="7360B190">
      <w:numFmt w:val="decimal"/>
      <w:lvlText w:val=""/>
      <w:lvlJc w:val="left"/>
    </w:lvl>
    <w:lvl w:ilvl="8" w:tplc="7FAEB50E">
      <w:numFmt w:val="decimal"/>
      <w:lvlText w:val=""/>
      <w:lvlJc w:val="left"/>
    </w:lvl>
  </w:abstractNum>
  <w:abstractNum w:abstractNumId="3">
    <w:nsid w:val="00000F3E"/>
    <w:multiLevelType w:val="hybridMultilevel"/>
    <w:tmpl w:val="669E19A8"/>
    <w:lvl w:ilvl="0" w:tplc="8A92875C">
      <w:start w:val="1"/>
      <w:numFmt w:val="bullet"/>
      <w:lvlText w:val=""/>
      <w:lvlJc w:val="left"/>
    </w:lvl>
    <w:lvl w:ilvl="1" w:tplc="492EFDD4">
      <w:numFmt w:val="decimal"/>
      <w:lvlText w:val=""/>
      <w:lvlJc w:val="left"/>
    </w:lvl>
    <w:lvl w:ilvl="2" w:tplc="3B9C1A42">
      <w:numFmt w:val="decimal"/>
      <w:lvlText w:val=""/>
      <w:lvlJc w:val="left"/>
    </w:lvl>
    <w:lvl w:ilvl="3" w:tplc="BA862A22">
      <w:numFmt w:val="decimal"/>
      <w:lvlText w:val=""/>
      <w:lvlJc w:val="left"/>
    </w:lvl>
    <w:lvl w:ilvl="4" w:tplc="B366F900">
      <w:numFmt w:val="decimal"/>
      <w:lvlText w:val=""/>
      <w:lvlJc w:val="left"/>
    </w:lvl>
    <w:lvl w:ilvl="5" w:tplc="F9E8CC1E">
      <w:numFmt w:val="decimal"/>
      <w:lvlText w:val=""/>
      <w:lvlJc w:val="left"/>
    </w:lvl>
    <w:lvl w:ilvl="6" w:tplc="46F45312">
      <w:numFmt w:val="decimal"/>
      <w:lvlText w:val=""/>
      <w:lvlJc w:val="left"/>
    </w:lvl>
    <w:lvl w:ilvl="7" w:tplc="2ABE2F98">
      <w:numFmt w:val="decimal"/>
      <w:lvlText w:val=""/>
      <w:lvlJc w:val="left"/>
    </w:lvl>
    <w:lvl w:ilvl="8" w:tplc="5B7C12CC">
      <w:numFmt w:val="decimal"/>
      <w:lvlText w:val=""/>
      <w:lvlJc w:val="left"/>
    </w:lvl>
  </w:abstractNum>
  <w:abstractNum w:abstractNumId="4">
    <w:nsid w:val="000012DB"/>
    <w:multiLevelType w:val="hybridMultilevel"/>
    <w:tmpl w:val="B8CAAB66"/>
    <w:lvl w:ilvl="0" w:tplc="F4726626">
      <w:start w:val="1"/>
      <w:numFmt w:val="bullet"/>
      <w:lvlText w:val=""/>
      <w:lvlJc w:val="left"/>
    </w:lvl>
    <w:lvl w:ilvl="1" w:tplc="187E10CA">
      <w:numFmt w:val="decimal"/>
      <w:lvlText w:val=""/>
      <w:lvlJc w:val="left"/>
    </w:lvl>
    <w:lvl w:ilvl="2" w:tplc="9228933E">
      <w:numFmt w:val="decimal"/>
      <w:lvlText w:val=""/>
      <w:lvlJc w:val="left"/>
    </w:lvl>
    <w:lvl w:ilvl="3" w:tplc="29481D62">
      <w:numFmt w:val="decimal"/>
      <w:lvlText w:val=""/>
      <w:lvlJc w:val="left"/>
    </w:lvl>
    <w:lvl w:ilvl="4" w:tplc="88721BBA">
      <w:numFmt w:val="decimal"/>
      <w:lvlText w:val=""/>
      <w:lvlJc w:val="left"/>
    </w:lvl>
    <w:lvl w:ilvl="5" w:tplc="ED6A7D86">
      <w:numFmt w:val="decimal"/>
      <w:lvlText w:val=""/>
      <w:lvlJc w:val="left"/>
    </w:lvl>
    <w:lvl w:ilvl="6" w:tplc="14EE3C08">
      <w:numFmt w:val="decimal"/>
      <w:lvlText w:val=""/>
      <w:lvlJc w:val="left"/>
    </w:lvl>
    <w:lvl w:ilvl="7" w:tplc="74EAD74A">
      <w:numFmt w:val="decimal"/>
      <w:lvlText w:val=""/>
      <w:lvlJc w:val="left"/>
    </w:lvl>
    <w:lvl w:ilvl="8" w:tplc="F11C6BDE">
      <w:numFmt w:val="decimal"/>
      <w:lvlText w:val=""/>
      <w:lvlJc w:val="left"/>
    </w:lvl>
  </w:abstractNum>
  <w:abstractNum w:abstractNumId="5">
    <w:nsid w:val="0000153C"/>
    <w:multiLevelType w:val="hybridMultilevel"/>
    <w:tmpl w:val="BB98504A"/>
    <w:lvl w:ilvl="0" w:tplc="A998965C">
      <w:start w:val="1"/>
      <w:numFmt w:val="bullet"/>
      <w:lvlText w:val=""/>
      <w:lvlJc w:val="left"/>
    </w:lvl>
    <w:lvl w:ilvl="1" w:tplc="D088889A">
      <w:numFmt w:val="decimal"/>
      <w:lvlText w:val=""/>
      <w:lvlJc w:val="left"/>
    </w:lvl>
    <w:lvl w:ilvl="2" w:tplc="10481900">
      <w:numFmt w:val="decimal"/>
      <w:lvlText w:val=""/>
      <w:lvlJc w:val="left"/>
    </w:lvl>
    <w:lvl w:ilvl="3" w:tplc="5FE2F93C">
      <w:numFmt w:val="decimal"/>
      <w:lvlText w:val=""/>
      <w:lvlJc w:val="left"/>
    </w:lvl>
    <w:lvl w:ilvl="4" w:tplc="09902472">
      <w:numFmt w:val="decimal"/>
      <w:lvlText w:val=""/>
      <w:lvlJc w:val="left"/>
    </w:lvl>
    <w:lvl w:ilvl="5" w:tplc="6B040C82">
      <w:numFmt w:val="decimal"/>
      <w:lvlText w:val=""/>
      <w:lvlJc w:val="left"/>
    </w:lvl>
    <w:lvl w:ilvl="6" w:tplc="43BCE510">
      <w:numFmt w:val="decimal"/>
      <w:lvlText w:val=""/>
      <w:lvlJc w:val="left"/>
    </w:lvl>
    <w:lvl w:ilvl="7" w:tplc="3A2CF86A">
      <w:numFmt w:val="decimal"/>
      <w:lvlText w:val=""/>
      <w:lvlJc w:val="left"/>
    </w:lvl>
    <w:lvl w:ilvl="8" w:tplc="9BB4C7B2">
      <w:numFmt w:val="decimal"/>
      <w:lvlText w:val=""/>
      <w:lvlJc w:val="left"/>
    </w:lvl>
  </w:abstractNum>
  <w:abstractNum w:abstractNumId="6">
    <w:nsid w:val="000026E9"/>
    <w:multiLevelType w:val="hybridMultilevel"/>
    <w:tmpl w:val="069E5936"/>
    <w:lvl w:ilvl="0" w:tplc="F754EB3A">
      <w:start w:val="1"/>
      <w:numFmt w:val="bullet"/>
      <w:lvlText w:val=""/>
      <w:lvlJc w:val="left"/>
    </w:lvl>
    <w:lvl w:ilvl="1" w:tplc="974E1F36">
      <w:numFmt w:val="decimal"/>
      <w:lvlText w:val=""/>
      <w:lvlJc w:val="left"/>
    </w:lvl>
    <w:lvl w:ilvl="2" w:tplc="E0ACB810">
      <w:numFmt w:val="decimal"/>
      <w:lvlText w:val=""/>
      <w:lvlJc w:val="left"/>
    </w:lvl>
    <w:lvl w:ilvl="3" w:tplc="B4A8FEF0">
      <w:numFmt w:val="decimal"/>
      <w:lvlText w:val=""/>
      <w:lvlJc w:val="left"/>
    </w:lvl>
    <w:lvl w:ilvl="4" w:tplc="FC2A639A">
      <w:numFmt w:val="decimal"/>
      <w:lvlText w:val=""/>
      <w:lvlJc w:val="left"/>
    </w:lvl>
    <w:lvl w:ilvl="5" w:tplc="797046D0">
      <w:numFmt w:val="decimal"/>
      <w:lvlText w:val=""/>
      <w:lvlJc w:val="left"/>
    </w:lvl>
    <w:lvl w:ilvl="6" w:tplc="1D3863F6">
      <w:numFmt w:val="decimal"/>
      <w:lvlText w:val=""/>
      <w:lvlJc w:val="left"/>
    </w:lvl>
    <w:lvl w:ilvl="7" w:tplc="2D741258">
      <w:numFmt w:val="decimal"/>
      <w:lvlText w:val=""/>
      <w:lvlJc w:val="left"/>
    </w:lvl>
    <w:lvl w:ilvl="8" w:tplc="3222AEE2">
      <w:numFmt w:val="decimal"/>
      <w:lvlText w:val=""/>
      <w:lvlJc w:val="left"/>
    </w:lvl>
  </w:abstractNum>
  <w:abstractNum w:abstractNumId="7">
    <w:nsid w:val="00002EA6"/>
    <w:multiLevelType w:val="hybridMultilevel"/>
    <w:tmpl w:val="4744623E"/>
    <w:lvl w:ilvl="0" w:tplc="5E3A40A8">
      <w:start w:val="1"/>
      <w:numFmt w:val="bullet"/>
      <w:lvlText w:val=""/>
      <w:lvlJc w:val="left"/>
    </w:lvl>
    <w:lvl w:ilvl="1" w:tplc="DFE61EE0">
      <w:numFmt w:val="decimal"/>
      <w:lvlText w:val=""/>
      <w:lvlJc w:val="left"/>
    </w:lvl>
    <w:lvl w:ilvl="2" w:tplc="D14870E0">
      <w:numFmt w:val="decimal"/>
      <w:lvlText w:val=""/>
      <w:lvlJc w:val="left"/>
    </w:lvl>
    <w:lvl w:ilvl="3" w:tplc="D0E2FB26">
      <w:numFmt w:val="decimal"/>
      <w:lvlText w:val=""/>
      <w:lvlJc w:val="left"/>
    </w:lvl>
    <w:lvl w:ilvl="4" w:tplc="A6186300">
      <w:numFmt w:val="decimal"/>
      <w:lvlText w:val=""/>
      <w:lvlJc w:val="left"/>
    </w:lvl>
    <w:lvl w:ilvl="5" w:tplc="8C66896C">
      <w:numFmt w:val="decimal"/>
      <w:lvlText w:val=""/>
      <w:lvlJc w:val="left"/>
    </w:lvl>
    <w:lvl w:ilvl="6" w:tplc="8AB47F94">
      <w:numFmt w:val="decimal"/>
      <w:lvlText w:val=""/>
      <w:lvlJc w:val="left"/>
    </w:lvl>
    <w:lvl w:ilvl="7" w:tplc="B0F8B192">
      <w:numFmt w:val="decimal"/>
      <w:lvlText w:val=""/>
      <w:lvlJc w:val="left"/>
    </w:lvl>
    <w:lvl w:ilvl="8" w:tplc="A9D60BEC">
      <w:numFmt w:val="decimal"/>
      <w:lvlText w:val=""/>
      <w:lvlJc w:val="left"/>
    </w:lvl>
  </w:abstractNum>
  <w:abstractNum w:abstractNumId="8">
    <w:nsid w:val="0000390C"/>
    <w:multiLevelType w:val="hybridMultilevel"/>
    <w:tmpl w:val="5F90B59A"/>
    <w:lvl w:ilvl="0" w:tplc="5DDAD0C4">
      <w:start w:val="1"/>
      <w:numFmt w:val="bullet"/>
      <w:lvlText w:val=""/>
      <w:lvlJc w:val="left"/>
    </w:lvl>
    <w:lvl w:ilvl="1" w:tplc="A5A66B1C">
      <w:numFmt w:val="decimal"/>
      <w:lvlText w:val=""/>
      <w:lvlJc w:val="left"/>
    </w:lvl>
    <w:lvl w:ilvl="2" w:tplc="A4C6E7BC">
      <w:numFmt w:val="decimal"/>
      <w:lvlText w:val=""/>
      <w:lvlJc w:val="left"/>
    </w:lvl>
    <w:lvl w:ilvl="3" w:tplc="C79A1004">
      <w:numFmt w:val="decimal"/>
      <w:lvlText w:val=""/>
      <w:lvlJc w:val="left"/>
    </w:lvl>
    <w:lvl w:ilvl="4" w:tplc="DF14ACC8">
      <w:numFmt w:val="decimal"/>
      <w:lvlText w:val=""/>
      <w:lvlJc w:val="left"/>
    </w:lvl>
    <w:lvl w:ilvl="5" w:tplc="FB64AD9A">
      <w:numFmt w:val="decimal"/>
      <w:lvlText w:val=""/>
      <w:lvlJc w:val="left"/>
    </w:lvl>
    <w:lvl w:ilvl="6" w:tplc="A1C0AD44">
      <w:numFmt w:val="decimal"/>
      <w:lvlText w:val=""/>
      <w:lvlJc w:val="left"/>
    </w:lvl>
    <w:lvl w:ilvl="7" w:tplc="78B40170">
      <w:numFmt w:val="decimal"/>
      <w:lvlText w:val=""/>
      <w:lvlJc w:val="left"/>
    </w:lvl>
    <w:lvl w:ilvl="8" w:tplc="662E52C2">
      <w:numFmt w:val="decimal"/>
      <w:lvlText w:val=""/>
      <w:lvlJc w:val="left"/>
    </w:lvl>
  </w:abstractNum>
  <w:abstractNum w:abstractNumId="9">
    <w:nsid w:val="000041BB"/>
    <w:multiLevelType w:val="hybridMultilevel"/>
    <w:tmpl w:val="F306C170"/>
    <w:lvl w:ilvl="0" w:tplc="9FE6DF8E">
      <w:start w:val="1"/>
      <w:numFmt w:val="bullet"/>
      <w:lvlText w:val=""/>
      <w:lvlJc w:val="left"/>
    </w:lvl>
    <w:lvl w:ilvl="1" w:tplc="F69E9476">
      <w:numFmt w:val="decimal"/>
      <w:lvlText w:val=""/>
      <w:lvlJc w:val="left"/>
    </w:lvl>
    <w:lvl w:ilvl="2" w:tplc="D6CE4512">
      <w:numFmt w:val="decimal"/>
      <w:lvlText w:val=""/>
      <w:lvlJc w:val="left"/>
    </w:lvl>
    <w:lvl w:ilvl="3" w:tplc="16DC405A">
      <w:numFmt w:val="decimal"/>
      <w:lvlText w:val=""/>
      <w:lvlJc w:val="left"/>
    </w:lvl>
    <w:lvl w:ilvl="4" w:tplc="14045C7C">
      <w:numFmt w:val="decimal"/>
      <w:lvlText w:val=""/>
      <w:lvlJc w:val="left"/>
    </w:lvl>
    <w:lvl w:ilvl="5" w:tplc="9A1EFB02">
      <w:numFmt w:val="decimal"/>
      <w:lvlText w:val=""/>
      <w:lvlJc w:val="left"/>
    </w:lvl>
    <w:lvl w:ilvl="6" w:tplc="3D041D50">
      <w:numFmt w:val="decimal"/>
      <w:lvlText w:val=""/>
      <w:lvlJc w:val="left"/>
    </w:lvl>
    <w:lvl w:ilvl="7" w:tplc="CBC87070">
      <w:numFmt w:val="decimal"/>
      <w:lvlText w:val=""/>
      <w:lvlJc w:val="left"/>
    </w:lvl>
    <w:lvl w:ilvl="8" w:tplc="11402E14">
      <w:numFmt w:val="decimal"/>
      <w:lvlText w:val=""/>
      <w:lvlJc w:val="left"/>
    </w:lvl>
  </w:abstractNum>
  <w:abstractNum w:abstractNumId="10">
    <w:nsid w:val="00005AF1"/>
    <w:multiLevelType w:val="hybridMultilevel"/>
    <w:tmpl w:val="7040C638"/>
    <w:lvl w:ilvl="0" w:tplc="D44C1E12">
      <w:start w:val="1"/>
      <w:numFmt w:val="bullet"/>
      <w:lvlText w:val=""/>
      <w:lvlJc w:val="left"/>
    </w:lvl>
    <w:lvl w:ilvl="1" w:tplc="E4A2E1F0">
      <w:numFmt w:val="decimal"/>
      <w:lvlText w:val=""/>
      <w:lvlJc w:val="left"/>
    </w:lvl>
    <w:lvl w:ilvl="2" w:tplc="6ABE96FA">
      <w:numFmt w:val="decimal"/>
      <w:lvlText w:val=""/>
      <w:lvlJc w:val="left"/>
    </w:lvl>
    <w:lvl w:ilvl="3" w:tplc="782A6BC6">
      <w:numFmt w:val="decimal"/>
      <w:lvlText w:val=""/>
      <w:lvlJc w:val="left"/>
    </w:lvl>
    <w:lvl w:ilvl="4" w:tplc="E4F29D0E">
      <w:numFmt w:val="decimal"/>
      <w:lvlText w:val=""/>
      <w:lvlJc w:val="left"/>
    </w:lvl>
    <w:lvl w:ilvl="5" w:tplc="96467094">
      <w:numFmt w:val="decimal"/>
      <w:lvlText w:val=""/>
      <w:lvlJc w:val="left"/>
    </w:lvl>
    <w:lvl w:ilvl="6" w:tplc="4A507396">
      <w:numFmt w:val="decimal"/>
      <w:lvlText w:val=""/>
      <w:lvlJc w:val="left"/>
    </w:lvl>
    <w:lvl w:ilvl="7" w:tplc="B33A4F5E">
      <w:numFmt w:val="decimal"/>
      <w:lvlText w:val=""/>
      <w:lvlJc w:val="left"/>
    </w:lvl>
    <w:lvl w:ilvl="8" w:tplc="1E40FAE6">
      <w:numFmt w:val="decimal"/>
      <w:lvlText w:val=""/>
      <w:lvlJc w:val="left"/>
    </w:lvl>
  </w:abstractNum>
  <w:abstractNum w:abstractNumId="11">
    <w:nsid w:val="00007E87"/>
    <w:multiLevelType w:val="hybridMultilevel"/>
    <w:tmpl w:val="85D25064"/>
    <w:lvl w:ilvl="0" w:tplc="79DA22C0">
      <w:start w:val="1"/>
      <w:numFmt w:val="bullet"/>
      <w:lvlText w:val=""/>
      <w:lvlJc w:val="left"/>
    </w:lvl>
    <w:lvl w:ilvl="1" w:tplc="A6F44A4E">
      <w:numFmt w:val="decimal"/>
      <w:lvlText w:val=""/>
      <w:lvlJc w:val="left"/>
    </w:lvl>
    <w:lvl w:ilvl="2" w:tplc="1346D47C">
      <w:numFmt w:val="decimal"/>
      <w:lvlText w:val=""/>
      <w:lvlJc w:val="left"/>
    </w:lvl>
    <w:lvl w:ilvl="3" w:tplc="124670E4">
      <w:numFmt w:val="decimal"/>
      <w:lvlText w:val=""/>
      <w:lvlJc w:val="left"/>
    </w:lvl>
    <w:lvl w:ilvl="4" w:tplc="7702272E">
      <w:numFmt w:val="decimal"/>
      <w:lvlText w:val=""/>
      <w:lvlJc w:val="left"/>
    </w:lvl>
    <w:lvl w:ilvl="5" w:tplc="805A6C44">
      <w:numFmt w:val="decimal"/>
      <w:lvlText w:val=""/>
      <w:lvlJc w:val="left"/>
    </w:lvl>
    <w:lvl w:ilvl="6" w:tplc="CDEC7DB4">
      <w:numFmt w:val="decimal"/>
      <w:lvlText w:val=""/>
      <w:lvlJc w:val="left"/>
    </w:lvl>
    <w:lvl w:ilvl="7" w:tplc="F31038EA">
      <w:numFmt w:val="decimal"/>
      <w:lvlText w:val=""/>
      <w:lvlJc w:val="left"/>
    </w:lvl>
    <w:lvl w:ilvl="8" w:tplc="DF820D2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3"/>
    <w:rsid w:val="00974C23"/>
    <w:rsid w:val="00E96C27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al.369835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pal.369835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al.3698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2017-05-27T08:10:00Z</dcterms:created>
  <dcterms:modified xsi:type="dcterms:W3CDTF">2017-05-27T08:10:00Z</dcterms:modified>
</cp:coreProperties>
</file>