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6" w:rsidRDefault="003C5ED6" w:rsidP="00DA1D31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</w:pPr>
    </w:p>
    <w:p w:rsidR="003C5ED6" w:rsidRDefault="00A54B66" w:rsidP="00DA1D31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</w:pPr>
      <w:hyperlink r:id="rId8" w:history="1">
        <w:r w:rsidRPr="00243012">
          <w:rPr>
            <w:rStyle w:val="Hyperlink"/>
            <w:rFonts w:asciiTheme="majorHAnsi" w:hAnsiTheme="majorHAnsi" w:cs="Tahoma"/>
            <w:b/>
            <w:iCs/>
            <w:sz w:val="36"/>
            <w:szCs w:val="36"/>
            <w:lang w:val="en-GB"/>
          </w:rPr>
          <w:t>Hazeena.371367@2freemail.com</w:t>
        </w:r>
      </w:hyperlink>
      <w:r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 xml:space="preserve"> </w:t>
      </w:r>
    </w:p>
    <w:p w:rsidR="003C5ED6" w:rsidRDefault="003C5ED6" w:rsidP="00DA1D31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</w:pPr>
    </w:p>
    <w:p w:rsidR="003C5ED6" w:rsidRDefault="003C5ED6" w:rsidP="00DA1D31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</w:pPr>
    </w:p>
    <w:p w:rsidR="00DA1D31" w:rsidRPr="008B62E5" w:rsidRDefault="00A54B66" w:rsidP="00DA1D31">
      <w:pPr>
        <w:pBdr>
          <w:bottom w:val="single" w:sz="4" w:space="4" w:color="auto"/>
        </w:pBdr>
        <w:tabs>
          <w:tab w:val="right" w:pos="10440"/>
        </w:tabs>
        <w:spacing w:after="0" w:line="240" w:lineRule="auto"/>
        <w:rPr>
          <w:rFonts w:asciiTheme="majorHAnsi" w:hAnsiTheme="majorHAnsi" w:cs="Tahoma"/>
          <w:b/>
          <w:iCs/>
          <w:color w:val="000000"/>
          <w:sz w:val="28"/>
          <w:szCs w:val="32"/>
          <w:lang w:val="en-GB"/>
        </w:rPr>
      </w:pPr>
      <w:proofErr w:type="spellStart"/>
      <w:r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>Hazeena</w:t>
      </w:r>
      <w:proofErr w:type="spellEnd"/>
      <w:r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 xml:space="preserve"> </w:t>
      </w:r>
      <w:r w:rsidR="0076606A">
        <w:rPr>
          <w:rFonts w:asciiTheme="majorHAnsi" w:hAnsiTheme="majorHAnsi" w:cs="Tahoma"/>
          <w:b/>
          <w:iCs/>
          <w:color w:val="000000"/>
          <w:sz w:val="32"/>
          <w:szCs w:val="32"/>
          <w:lang w:val="en-GB"/>
        </w:rPr>
        <w:tab/>
      </w:r>
      <w:r w:rsidR="0076606A">
        <w:rPr>
          <w:rFonts w:asciiTheme="majorHAnsi" w:hAnsiTheme="majorHAnsi" w:cs="Tahoma"/>
          <w:b/>
          <w:iCs/>
          <w:color w:val="000000"/>
          <w:sz w:val="36"/>
          <w:szCs w:val="36"/>
          <w:lang w:val="en-GB"/>
        </w:rPr>
        <w:t xml:space="preserve">                          </w:t>
      </w:r>
      <w:r w:rsidR="006362A0">
        <w:rPr>
          <w:rFonts w:asciiTheme="majorHAnsi" w:hAnsiTheme="majorHAnsi" w:cs="Tahoma"/>
          <w:b/>
          <w:iCs/>
          <w:color w:val="000000"/>
          <w:sz w:val="32"/>
          <w:szCs w:val="32"/>
          <w:lang w:val="en-GB"/>
        </w:rPr>
        <w:t xml:space="preserve"> </w:t>
      </w:r>
      <w:r w:rsidR="006362A0">
        <w:rPr>
          <w:rFonts w:asciiTheme="majorHAnsi" w:hAnsiTheme="majorHAnsi" w:cs="Tahoma"/>
          <w:b/>
          <w:iCs/>
          <w:noProof/>
          <w:color w:val="000000"/>
          <w:sz w:val="32"/>
          <w:szCs w:val="32"/>
        </w:rPr>
        <w:t xml:space="preserve">                          </w:t>
      </w:r>
      <w:r w:rsidR="0004360B">
        <w:rPr>
          <w:rFonts w:asciiTheme="majorHAnsi" w:hAnsiTheme="majorHAnsi" w:cs="Tahoma"/>
          <w:b/>
          <w:iCs/>
          <w:noProof/>
          <w:color w:val="000000"/>
          <w:sz w:val="32"/>
          <w:szCs w:val="32"/>
        </w:rPr>
        <w:t xml:space="preserve">    </w:t>
      </w:r>
      <w:r w:rsidR="00DA1D31">
        <w:rPr>
          <w:rFonts w:asciiTheme="majorHAnsi" w:hAnsiTheme="majorHAnsi" w:cs="Tahoma"/>
          <w:b/>
          <w:iCs/>
          <w:color w:val="000000"/>
          <w:sz w:val="28"/>
          <w:szCs w:val="28"/>
          <w:lang w:val="en-GB"/>
        </w:rPr>
        <w:t xml:space="preserve">  </w:t>
      </w:r>
    </w:p>
    <w:p w:rsidR="00DA1D31" w:rsidRPr="008B62E5" w:rsidRDefault="00DA1D31" w:rsidP="00DA1D31">
      <w:pPr>
        <w:tabs>
          <w:tab w:val="right" w:pos="10440"/>
        </w:tabs>
        <w:spacing w:before="80" w:after="0" w:line="240" w:lineRule="auto"/>
        <w:rPr>
          <w:rFonts w:asciiTheme="minorHAnsi" w:hAnsiTheme="minorHAnsi" w:cstheme="minorHAnsi"/>
          <w:i/>
          <w:sz w:val="21"/>
          <w:szCs w:val="21"/>
          <w:lang w:val="en-GB"/>
        </w:rPr>
      </w:pPr>
      <w:bookmarkStart w:id="0" w:name="_GoBack"/>
      <w:bookmarkEnd w:id="0"/>
      <w:r w:rsidRPr="008B62E5">
        <w:rPr>
          <w:rFonts w:asciiTheme="minorHAnsi" w:hAnsiTheme="minorHAnsi" w:cstheme="minorHAnsi"/>
          <w:i/>
          <w:iCs/>
          <w:color w:val="000000"/>
          <w:sz w:val="21"/>
          <w:szCs w:val="21"/>
          <w:lang w:val="en-GB"/>
        </w:rPr>
        <w:tab/>
      </w:r>
    </w:p>
    <w:p w:rsidR="00DA1D31" w:rsidRDefault="00DA1D31" w:rsidP="00DA1D3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DA1D31" w:rsidRDefault="00DA1D31" w:rsidP="00DA1D31">
      <w:pPr>
        <w:jc w:val="both"/>
        <w:rPr>
          <w:rFonts w:asciiTheme="minorHAnsi" w:eastAsia="Times New Roman" w:hAnsiTheme="minorHAnsi" w:cstheme="minorHAnsi"/>
          <w:sz w:val="21"/>
          <w:szCs w:val="21"/>
          <w:lang w:val="en-GB"/>
        </w:rPr>
      </w:pPr>
      <w:r w:rsidRPr="00AC6435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Accomplished and results-oriented </w:t>
      </w:r>
      <w:r w:rsidR="00A76210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banking </w:t>
      </w:r>
      <w:r w:rsidRPr="00AC6435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professional with 10+ years of experience in </w:t>
      </w:r>
      <w:r w:rsidR="00A76210">
        <w:rPr>
          <w:rFonts w:asciiTheme="minorHAnsi" w:eastAsia="Times New Roman" w:hAnsiTheme="minorHAnsi" w:cstheme="minorHAnsi"/>
          <w:sz w:val="21"/>
          <w:szCs w:val="21"/>
          <w:lang w:val="en-GB"/>
        </w:rPr>
        <w:t>Corporate /</w:t>
      </w:r>
      <w:r w:rsidR="00B45D23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</w:t>
      </w:r>
      <w:r>
        <w:rPr>
          <w:rFonts w:asciiTheme="minorHAnsi" w:eastAsia="Times New Roman" w:hAnsiTheme="minorHAnsi" w:cstheme="minorHAnsi"/>
          <w:sz w:val="21"/>
          <w:szCs w:val="21"/>
          <w:lang w:val="en-GB"/>
        </w:rPr>
        <w:t>C</w:t>
      </w:r>
      <w:r w:rsidRPr="00AC6435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ommercial </w:t>
      </w:r>
      <w:r w:rsidR="004B2981">
        <w:rPr>
          <w:rFonts w:asciiTheme="minorHAnsi" w:eastAsia="Times New Roman" w:hAnsiTheme="minorHAnsi" w:cstheme="minorHAnsi"/>
          <w:sz w:val="21"/>
          <w:szCs w:val="21"/>
          <w:lang w:val="en-GB"/>
        </w:rPr>
        <w:t>Banking</w:t>
      </w:r>
      <w:r w:rsidRPr="00AC6435">
        <w:rPr>
          <w:rFonts w:asciiTheme="minorHAnsi" w:eastAsia="Times New Roman" w:hAnsiTheme="minorHAnsi" w:cstheme="minorHAnsi"/>
          <w:sz w:val="21"/>
          <w:szCs w:val="21"/>
          <w:lang w:val="en-GB"/>
        </w:rPr>
        <w:t>, relationship and customer management, and accounting. Self-motivated and eager to contribute dedication, and drive toward collaborating with a growth-oriented organization to achieve targeted business goals and financial objectives. Offer well-honed analytical and problem-solving skills, and backed by strong technology orientation.</w:t>
      </w:r>
      <w:r w:rsidR="00B56B39"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</w:t>
      </w:r>
      <w:r w:rsidRPr="003317F9">
        <w:rPr>
          <w:rFonts w:asciiTheme="minorHAnsi" w:eastAsia="Times New Roman" w:hAnsiTheme="minorHAnsi" w:cstheme="minorHAnsi"/>
          <w:sz w:val="21"/>
          <w:szCs w:val="21"/>
          <w:lang w:val="en-GB"/>
        </w:rPr>
        <w:t>Quick learner, capable of adapting to changes within the</w:t>
      </w:r>
      <w:r>
        <w:rPr>
          <w:rFonts w:asciiTheme="minorHAnsi" w:eastAsia="Times New Roman" w:hAnsiTheme="minorHAnsi" w:cstheme="minorHAnsi"/>
          <w:sz w:val="21"/>
          <w:szCs w:val="21"/>
          <w:lang w:val="en-GB"/>
        </w:rPr>
        <w:t xml:space="preserve"> competitive environment, </w:t>
      </w:r>
      <w:r w:rsidRPr="003317F9">
        <w:rPr>
          <w:rFonts w:asciiTheme="minorHAnsi" w:eastAsia="Times New Roman" w:hAnsiTheme="minorHAnsi" w:cstheme="minorHAnsi"/>
          <w:sz w:val="21"/>
          <w:szCs w:val="21"/>
          <w:lang w:val="en-GB"/>
        </w:rPr>
        <w:t>and a team player seeks to learn and advance career in a way that will prove to be beneficial to the firm’s effective functioning</w:t>
      </w:r>
      <w:r>
        <w:rPr>
          <w:rFonts w:asciiTheme="minorHAnsi" w:eastAsia="Times New Roman" w:hAnsiTheme="minorHAnsi" w:cstheme="minorHAnsi"/>
          <w:sz w:val="21"/>
          <w:szCs w:val="21"/>
          <w:lang w:val="en-GB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3562"/>
        <w:gridCol w:w="3560"/>
      </w:tblGrid>
      <w:tr w:rsidR="00DA1D31" w:rsidRPr="008B62E5" w:rsidTr="00C60732">
        <w:trPr>
          <w:jc w:val="center"/>
        </w:trPr>
        <w:tc>
          <w:tcPr>
            <w:tcW w:w="1667" w:type="pct"/>
          </w:tcPr>
          <w:p w:rsidR="00DA1D31" w:rsidRDefault="00DA1D31" w:rsidP="00A76210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GB"/>
              </w:rPr>
            </w:pPr>
            <w:r w:rsidRPr="008B62E5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  <w:lang w:val="en-GB"/>
              </w:rPr>
              <w:t>Areas of Expertise include:</w:t>
            </w:r>
          </w:p>
          <w:p w:rsidR="0076606A" w:rsidRPr="008B62E5" w:rsidRDefault="0076606A" w:rsidP="00A76210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eastAsia="Dotum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1667" w:type="pct"/>
          </w:tcPr>
          <w:p w:rsidR="00DA1D31" w:rsidRPr="008B62E5" w:rsidRDefault="00DA1D31" w:rsidP="00C60732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515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  <w:tc>
          <w:tcPr>
            <w:tcW w:w="1666" w:type="pct"/>
          </w:tcPr>
          <w:p w:rsidR="00DA1D31" w:rsidRPr="008B62E5" w:rsidRDefault="00DA1D31" w:rsidP="00C60732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</w:tr>
      <w:tr w:rsidR="0076606A" w:rsidTr="0052616D">
        <w:trPr>
          <w:jc w:val="center"/>
        </w:trPr>
        <w:tc>
          <w:tcPr>
            <w:tcW w:w="1667" w:type="pct"/>
          </w:tcPr>
          <w:p w:rsidR="0076606A" w:rsidRDefault="0076606A" w:rsidP="0052616D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Banking &amp; Financial Reporting</w:t>
            </w:r>
          </w:p>
          <w:p w:rsidR="0076606A" w:rsidRDefault="0076606A" w:rsidP="0052616D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Risk Mitigation &amp; Management</w:t>
            </w:r>
          </w:p>
          <w:p w:rsidR="0076606A" w:rsidRDefault="0076606A" w:rsidP="0052616D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  <w:tc>
          <w:tcPr>
            <w:tcW w:w="1667" w:type="pct"/>
          </w:tcPr>
          <w:p w:rsidR="0076606A" w:rsidRDefault="0076606A" w:rsidP="0052616D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spacing w:line="264" w:lineRule="auto"/>
              <w:ind w:left="515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Credit Analysis &amp; Assessment </w:t>
            </w:r>
          </w:p>
          <w:p w:rsidR="0076606A" w:rsidRDefault="0076606A" w:rsidP="0052616D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spacing w:line="264" w:lineRule="auto"/>
              <w:ind w:left="515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Customer Service Skills</w:t>
            </w:r>
          </w:p>
          <w:p w:rsidR="0076606A" w:rsidRDefault="0076606A" w:rsidP="0052616D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515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  <w:tc>
          <w:tcPr>
            <w:tcW w:w="1666" w:type="pct"/>
          </w:tcPr>
          <w:p w:rsidR="0076606A" w:rsidRDefault="0076606A" w:rsidP="0052616D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Periodic Reporting Management </w:t>
            </w:r>
          </w:p>
          <w:p w:rsidR="0076606A" w:rsidRDefault="0076606A" w:rsidP="008C69C4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Problem Analysis &amp; Resolution </w:t>
            </w:r>
          </w:p>
        </w:tc>
      </w:tr>
      <w:tr w:rsidR="00DA1D31" w:rsidRPr="008B62E5" w:rsidTr="00C60732">
        <w:trPr>
          <w:trHeight w:val="100"/>
          <w:jc w:val="center"/>
        </w:trPr>
        <w:tc>
          <w:tcPr>
            <w:tcW w:w="1667" w:type="pct"/>
          </w:tcPr>
          <w:p w:rsidR="00DA1D31" w:rsidRPr="008B62E5" w:rsidRDefault="00DA1D31" w:rsidP="00C60732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  <w:tc>
          <w:tcPr>
            <w:tcW w:w="1667" w:type="pct"/>
          </w:tcPr>
          <w:p w:rsidR="00DA1D31" w:rsidRPr="008B62E5" w:rsidRDefault="00DA1D31" w:rsidP="00C60732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515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  <w:tc>
          <w:tcPr>
            <w:tcW w:w="1666" w:type="pct"/>
          </w:tcPr>
          <w:p w:rsidR="00DA1D31" w:rsidRPr="008B62E5" w:rsidRDefault="00DA1D31" w:rsidP="00C60732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</w:p>
        </w:tc>
      </w:tr>
    </w:tbl>
    <w:p w:rsidR="00DA1D31" w:rsidRPr="008B62E5" w:rsidRDefault="008C69C4" w:rsidP="00DA1D31">
      <w:pPr>
        <w:pBdr>
          <w:bottom w:val="inset" w:sz="6" w:space="4" w:color="auto"/>
        </w:pBdr>
        <w:spacing w:before="360" w:after="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P</w:t>
      </w:r>
      <w:r w:rsidR="00DA1D31" w:rsidRPr="008B62E5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rofessional Experience</w:t>
      </w:r>
    </w:p>
    <w:p w:rsidR="00DA1D31" w:rsidRDefault="00DA1D31" w:rsidP="00DA1D31">
      <w:pPr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</w:pPr>
    </w:p>
    <w:p w:rsidR="00DA1D31" w:rsidRDefault="00DA1D31" w:rsidP="00DA1D31">
      <w:pPr>
        <w:spacing w:after="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115334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>NATIONAL BANK OF ABU DHABI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D65E11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Dubai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115334">
        <w:rPr>
          <w:rFonts w:asciiTheme="minorHAnsi" w:hAnsiTheme="minorHAnsi" w:cstheme="minorHAnsi"/>
          <w:color w:val="000000"/>
          <w:sz w:val="21"/>
          <w:szCs w:val="21"/>
          <w:lang w:val="en-GB"/>
        </w:rPr>
        <w:t>May 2011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– </w:t>
      </w:r>
      <w:r w:rsidR="00B377E2">
        <w:rPr>
          <w:rFonts w:asciiTheme="minorHAnsi" w:hAnsiTheme="minorHAnsi" w:cstheme="minorHAnsi"/>
          <w:color w:val="000000"/>
          <w:sz w:val="21"/>
          <w:szCs w:val="21"/>
          <w:lang w:val="en-GB"/>
        </w:rPr>
        <w:t>Present</w:t>
      </w:r>
    </w:p>
    <w:p w:rsidR="00DA1D31" w:rsidRDefault="00DA1D31" w:rsidP="00DA1D31">
      <w:pPr>
        <w:pStyle w:val="BodyText"/>
        <w:tabs>
          <w:tab w:val="right" w:pos="360"/>
        </w:tabs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</w:pPr>
      <w:r w:rsidRPr="005C3F20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Sr. FINANCIAL ANALYST</w:t>
      </w:r>
      <w:r w:rsidRPr="005C3F20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ab/>
      </w:r>
    </w:p>
    <w:p w:rsidR="00DA1D31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Managed the accounts of corporate</w:t>
      </w:r>
      <w:r w:rsidRPr="006D165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customers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and monitored risk exposure whilst evaluated credit worthiness. Complete </w:t>
      </w:r>
      <w:r w:rsidRPr="005C3F20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documentation, internal Memo’s and RMD approval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process, </w:t>
      </w:r>
      <w:r w:rsidRPr="005C3F20">
        <w:rPr>
          <w:rFonts w:asciiTheme="minorHAnsi" w:hAnsiTheme="minorHAnsi" w:cstheme="minorHAnsi"/>
          <w:bCs/>
          <w:sz w:val="21"/>
          <w:szCs w:val="21"/>
          <w:lang w:val="en-GB"/>
        </w:rPr>
        <w:t>and liaison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with various internal teams. Provide</w:t>
      </w:r>
      <w:r w:rsidRPr="005C3F20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support for trade requirements of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the client and timely approvals, and supported </w:t>
      </w:r>
      <w:r w:rsidRPr="005C3F20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the team to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achieve desired team objectives and goals</w:t>
      </w:r>
      <w:r w:rsidR="00CE7FC4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</w:p>
    <w:p w:rsidR="00F32056" w:rsidRPr="00E51B02" w:rsidRDefault="00F32056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</w:p>
    <w:p w:rsidR="00DA1D31" w:rsidRPr="008B62E5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:rsidR="00DA1D31" w:rsidRDefault="00DA1D31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Delivered credit support by handling credit application process whilst provided credit support to the commercial banking team to achieve income and growth, and thereby enhanced portfolio income.</w:t>
      </w:r>
    </w:p>
    <w:p w:rsidR="00DA1D31" w:rsidRDefault="00AA6BD7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Delivered administrative support in the day today management and monitoring of the corporate portfolio by supporting UH/SRM/RM by a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>dher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ing 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>to bank’s policies and procedures</w:t>
      </w:r>
      <w:r w:rsidR="00BF3AC0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</w:p>
    <w:p w:rsidR="00CE7FC4" w:rsidRDefault="00CE7FC4" w:rsidP="00CE7FC4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Analysed financial statements, prepared spread sheet and credit packages, identified the borrower requirements, and structured credit packages. </w:t>
      </w:r>
    </w:p>
    <w:p w:rsidR="00DA1D31" w:rsidRDefault="00DA1D31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5A4550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Provided credit support by handling credit application process and completion of basic information in facility reviews and prepared reports and KYC for management review.  </w:t>
      </w:r>
    </w:p>
    <w:p w:rsidR="0076606A" w:rsidRDefault="0076606A" w:rsidP="0076606A">
      <w:pPr>
        <w:pStyle w:val="BodyText"/>
        <w:tabs>
          <w:tab w:val="right" w:pos="360"/>
        </w:tabs>
        <w:spacing w:before="60"/>
        <w:ind w:left="360"/>
        <w:rPr>
          <w:rFonts w:asciiTheme="minorHAnsi" w:hAnsiTheme="minorHAnsi" w:cstheme="minorHAnsi"/>
          <w:bCs/>
          <w:sz w:val="21"/>
          <w:szCs w:val="21"/>
          <w:lang w:val="en-GB"/>
        </w:rPr>
      </w:pPr>
    </w:p>
    <w:p w:rsidR="00DA1D31" w:rsidRPr="00E06C84" w:rsidRDefault="00DA1D31" w:rsidP="00DA1D31">
      <w:pPr>
        <w:tabs>
          <w:tab w:val="left" w:pos="7938"/>
        </w:tabs>
        <w:spacing w:after="0"/>
        <w:ind w:left="720" w:firstLine="720"/>
        <w:jc w:val="center"/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</w:pPr>
      <w:r w:rsidRPr="00E06C84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>DUB</w:t>
      </w:r>
      <w:r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 xml:space="preserve">AI BANK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7260F7">
        <w:rPr>
          <w:rFonts w:asciiTheme="minorHAnsi" w:eastAsia="Times New Roman" w:hAnsiTheme="minorHAnsi" w:cstheme="minorHAnsi"/>
          <w:color w:val="000000"/>
          <w:sz w:val="21"/>
          <w:szCs w:val="21"/>
          <w:lang w:val="en-GB"/>
        </w:rPr>
        <w:t>Dubai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E06C84">
        <w:rPr>
          <w:rFonts w:asciiTheme="minorHAnsi" w:hAnsiTheme="minorHAnsi" w:cstheme="minorHAnsi"/>
          <w:color w:val="000000"/>
          <w:sz w:val="21"/>
          <w:szCs w:val="21"/>
          <w:lang w:val="en-GB"/>
        </w:rPr>
        <w:t>May2008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– </w:t>
      </w:r>
      <w:r w:rsidRPr="00E06C84">
        <w:rPr>
          <w:rFonts w:asciiTheme="minorHAnsi" w:hAnsiTheme="minorHAnsi" w:cstheme="minorHAnsi"/>
          <w:color w:val="000000"/>
          <w:sz w:val="21"/>
          <w:szCs w:val="21"/>
          <w:lang w:val="en-GB"/>
        </w:rPr>
        <w:t>May 2009</w:t>
      </w:r>
    </w:p>
    <w:p w:rsidR="00DA1D31" w:rsidRDefault="00DA1D31" w:rsidP="00DA1D31">
      <w:pPr>
        <w:pStyle w:val="BodyText"/>
        <w:tabs>
          <w:tab w:val="right" w:pos="360"/>
          <w:tab w:val="left" w:pos="7938"/>
        </w:tabs>
        <w:spacing w:before="60"/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</w:pPr>
      <w:r w:rsidRPr="00E06C84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Relationship Officer </w:t>
      </w:r>
    </w:p>
    <w:p w:rsidR="00F32056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Managed the accounts of corporate customers by ensuring proper documentation, and maximised revenue through speedy and prompt disbursement. </w:t>
      </w:r>
    </w:p>
    <w:p w:rsidR="00DA1D31" w:rsidRPr="008B62E5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:rsidR="00DA1D31" w:rsidRDefault="00DA1D31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Analysed financial statements, prepared spread sheet and credit packages, identified the borrower requirements, and structured credit packages. </w:t>
      </w:r>
    </w:p>
    <w:p w:rsidR="00BF3AC0" w:rsidRDefault="00DA1D31" w:rsidP="00BF3AC0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6362A0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Evaluated and assessed credit quality of corporate customers in terms of financial and operating risks, and proposed appropriate strategies to mitigate risk assessments. </w:t>
      </w:r>
    </w:p>
    <w:p w:rsidR="003C5ED6" w:rsidRPr="006362A0" w:rsidRDefault="003C5ED6" w:rsidP="003C5ED6">
      <w:pPr>
        <w:pStyle w:val="BodyText"/>
        <w:tabs>
          <w:tab w:val="right" w:pos="360"/>
        </w:tabs>
        <w:spacing w:before="60"/>
        <w:ind w:left="360"/>
        <w:rPr>
          <w:rFonts w:asciiTheme="minorHAnsi" w:hAnsiTheme="minorHAnsi" w:cstheme="minorHAnsi"/>
          <w:bCs/>
          <w:sz w:val="21"/>
          <w:szCs w:val="21"/>
          <w:lang w:val="en-GB"/>
        </w:rPr>
      </w:pPr>
    </w:p>
    <w:p w:rsidR="00DA1D31" w:rsidRPr="007260F7" w:rsidRDefault="00DA1D31" w:rsidP="00DA1D31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</w:pPr>
      <w:r w:rsidRPr="003D7EDD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>ABU DHABI ISLAM</w:t>
      </w:r>
      <w:r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 xml:space="preserve">IC BANK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D65E1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Dubai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3D7EDD">
        <w:rPr>
          <w:rFonts w:asciiTheme="minorHAnsi" w:hAnsiTheme="minorHAnsi" w:cstheme="minorHAnsi"/>
          <w:color w:val="000000"/>
          <w:sz w:val="21"/>
          <w:szCs w:val="21"/>
          <w:lang w:val="en-GB"/>
        </w:rPr>
        <w:t>J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ul</w:t>
      </w:r>
      <w:r w:rsidRPr="003D7ED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2004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– Feb </w:t>
      </w:r>
      <w:r w:rsidRPr="003D7EDD">
        <w:rPr>
          <w:rFonts w:asciiTheme="minorHAnsi" w:hAnsiTheme="minorHAnsi" w:cstheme="minorHAnsi"/>
          <w:color w:val="000000"/>
          <w:sz w:val="21"/>
          <w:szCs w:val="21"/>
          <w:lang w:val="en-GB"/>
        </w:rPr>
        <w:t>2008</w:t>
      </w:r>
    </w:p>
    <w:p w:rsidR="00DA1D31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</w:pPr>
      <w:r w:rsidRPr="003D7ED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Credit Analyst </w:t>
      </w:r>
    </w:p>
    <w:p w:rsidR="00BE5D20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Managed the accounts of corporate</w:t>
      </w:r>
      <w:r w:rsidRPr="006D165B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customers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and monitored risk exposure whilst evaluated credit worthiness. Prepared and managed meeting reports, diary management and provided administrative support to the team.</w:t>
      </w:r>
    </w:p>
    <w:p w:rsidR="00DA1D31" w:rsidRPr="00E677BF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E677BF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:rsidR="00DA1D31" w:rsidRDefault="00DA1D31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Interpreted financial statements, handled various customer credit proposals and prepared spread sheets and credit packages. </w:t>
      </w:r>
    </w:p>
    <w:p w:rsidR="00DA1D31" w:rsidRDefault="00DA1D31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Abetted </w:t>
      </w:r>
      <w:r w:rsidRPr="00EA31C8">
        <w:rPr>
          <w:rFonts w:asciiTheme="minorHAnsi" w:hAnsiTheme="minorHAnsi" w:cstheme="minorHAnsi"/>
          <w:bCs/>
          <w:sz w:val="21"/>
          <w:szCs w:val="21"/>
          <w:lang w:val="en-GB"/>
        </w:rPr>
        <w:t>SRMs/RMs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 preparing customer correspondence and other related documents, conserved credit files and all other corporate and commercial finance administrative jobs</w:t>
      </w:r>
    </w:p>
    <w:p w:rsidR="006362A0" w:rsidRDefault="006362A0" w:rsidP="006362A0">
      <w:pPr>
        <w:pStyle w:val="BodyText"/>
        <w:tabs>
          <w:tab w:val="right" w:pos="360"/>
        </w:tabs>
        <w:spacing w:before="60"/>
        <w:ind w:left="360"/>
        <w:rPr>
          <w:rFonts w:asciiTheme="minorHAnsi" w:hAnsiTheme="minorHAnsi" w:cstheme="minorHAnsi"/>
          <w:bCs/>
          <w:sz w:val="21"/>
          <w:szCs w:val="21"/>
          <w:lang w:val="en-GB"/>
        </w:rPr>
      </w:pPr>
    </w:p>
    <w:p w:rsidR="00DA1D31" w:rsidRPr="00E66C5F" w:rsidRDefault="00DA1D31" w:rsidP="00DA1D31">
      <w:pPr>
        <w:pStyle w:val="BodyText"/>
        <w:tabs>
          <w:tab w:val="right" w:pos="360"/>
        </w:tabs>
        <w:spacing w:before="60"/>
        <w:ind w:left="90"/>
        <w:rPr>
          <w:rFonts w:asciiTheme="minorHAnsi" w:hAnsiTheme="minorHAnsi" w:cstheme="minorHAnsi"/>
          <w:bCs/>
          <w:sz w:val="21"/>
          <w:szCs w:val="21"/>
          <w:lang w:val="en-GB"/>
        </w:rPr>
      </w:pPr>
    </w:p>
    <w:p w:rsidR="00DA1D31" w:rsidRDefault="00DA1D31" w:rsidP="00DA1D31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</w:pPr>
      <w:r w:rsidRPr="0032756C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>HSBC BANK MIDDLE EAST LIMITED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D65E1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Abu Dhabi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Aug 2003 – Ju</w:t>
      </w:r>
      <w:r w:rsidR="00371413">
        <w:rPr>
          <w:rFonts w:asciiTheme="minorHAnsi" w:hAnsiTheme="minorHAnsi" w:cstheme="minorHAnsi"/>
          <w:color w:val="000000"/>
          <w:sz w:val="21"/>
          <w:szCs w:val="21"/>
          <w:lang w:val="en-GB"/>
        </w:rPr>
        <w:t>l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2004 </w:t>
      </w:r>
    </w:p>
    <w:p w:rsidR="00DA1D31" w:rsidRDefault="004E06CC" w:rsidP="00DA1D31">
      <w:pPr>
        <w:spacing w:after="0"/>
        <w:rPr>
          <w:b/>
          <w:i/>
        </w:rPr>
      </w:pPr>
      <w:r>
        <w:rPr>
          <w:rFonts w:asciiTheme="minorHAnsi" w:eastAsia="Times New Roman" w:hAnsiTheme="minorHAnsi" w:cstheme="minorHAnsi"/>
          <w:b/>
          <w:bCs/>
          <w:smallCaps/>
          <w:color w:val="000000"/>
          <w:sz w:val="21"/>
          <w:szCs w:val="20"/>
          <w:lang w:val="en-GB"/>
        </w:rPr>
        <w:t>TYPIST CLERK</w:t>
      </w:r>
      <w:r w:rsidR="00DA1D31" w:rsidRPr="0032756C">
        <w:rPr>
          <w:b/>
          <w:i/>
        </w:rPr>
        <w:tab/>
      </w:r>
    </w:p>
    <w:p w:rsidR="00BF3AC0" w:rsidRDefault="00BF3AC0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Delivered administrative support in the day today management and monitoring of the corporate portfolio by supporting SRMs/RMs by adhering to bank’s policies and procedures.</w:t>
      </w:r>
    </w:p>
    <w:p w:rsidR="00DA1D31" w:rsidRPr="002761DE" w:rsidRDefault="00BE5D20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>K</w:t>
      </w:r>
      <w:r w:rsidR="00DA1D31"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ey Accomplishments:</w:t>
      </w:r>
    </w:p>
    <w:p w:rsidR="00DA1D31" w:rsidRPr="00D7794D" w:rsidRDefault="00A07E76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Provided administrative support to </w:t>
      </w:r>
      <w:r w:rsidR="00DA1D31" w:rsidRPr="00D7794D">
        <w:rPr>
          <w:rFonts w:asciiTheme="minorHAnsi" w:hAnsiTheme="minorHAnsi" w:cstheme="minorHAnsi"/>
          <w:bCs/>
          <w:sz w:val="21"/>
          <w:szCs w:val="21"/>
          <w:lang w:val="en-GB"/>
        </w:rPr>
        <w:t>SRMs/RMs in preparing customer correspondence and other related documents, conserved credit files and all other corporate and commercial finance administrative jobs.</w:t>
      </w:r>
    </w:p>
    <w:p w:rsidR="00DA1D31" w:rsidRDefault="00A07E76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Prepared facility offer letters and provided </w:t>
      </w:r>
      <w:r w:rsidR="00AA28BC">
        <w:rPr>
          <w:rFonts w:asciiTheme="minorHAnsi" w:hAnsiTheme="minorHAnsi" w:cstheme="minorHAnsi"/>
          <w:bCs/>
          <w:sz w:val="21"/>
          <w:szCs w:val="21"/>
          <w:lang w:val="en-GB"/>
        </w:rPr>
        <w:t>active support in customer support function.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</w:p>
    <w:p w:rsidR="0076606A" w:rsidRDefault="0076606A" w:rsidP="0076606A">
      <w:pPr>
        <w:pStyle w:val="BodyText"/>
        <w:tabs>
          <w:tab w:val="right" w:pos="360"/>
        </w:tabs>
        <w:spacing w:before="60"/>
        <w:ind w:left="360"/>
        <w:rPr>
          <w:rFonts w:asciiTheme="minorHAnsi" w:hAnsiTheme="minorHAnsi" w:cstheme="minorHAnsi"/>
          <w:bCs/>
          <w:sz w:val="21"/>
          <w:szCs w:val="21"/>
          <w:lang w:val="en-GB"/>
        </w:rPr>
      </w:pPr>
    </w:p>
    <w:p w:rsidR="00DA1D31" w:rsidRDefault="00DA1D31" w:rsidP="00DA1D31">
      <w:pPr>
        <w:spacing w:after="0"/>
        <w:jc w:val="both"/>
        <w:rPr>
          <w:b/>
          <w:i/>
          <w:caps/>
        </w:rPr>
      </w:pPr>
    </w:p>
    <w:p w:rsidR="00DA1D31" w:rsidRDefault="00DA1D31" w:rsidP="00DA1D31">
      <w:pPr>
        <w:spacing w:after="0"/>
        <w:jc w:val="center"/>
        <w:rPr>
          <w:i/>
          <w:caps/>
        </w:rPr>
      </w:pPr>
      <w:r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>AL PHARABI INTERNATIONAL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D65E11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Dubai </w:t>
      </w:r>
      <w:r w:rsidRPr="008B62E5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F32056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EA5FF6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Aug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200</w:t>
      </w:r>
      <w:r w:rsidR="00BF3AC0">
        <w:rPr>
          <w:rFonts w:asciiTheme="minorHAnsi" w:hAnsiTheme="minorHAnsi" w:cstheme="minorHAnsi"/>
          <w:color w:val="000000"/>
          <w:sz w:val="21"/>
          <w:szCs w:val="21"/>
          <w:lang w:val="en-GB"/>
        </w:rPr>
        <w:t>2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– Ju</w:t>
      </w:r>
      <w:r w:rsidR="00F32056">
        <w:rPr>
          <w:rFonts w:asciiTheme="minorHAnsi" w:hAnsiTheme="minorHAnsi" w:cstheme="minorHAnsi"/>
          <w:color w:val="000000"/>
          <w:sz w:val="21"/>
          <w:szCs w:val="21"/>
          <w:lang w:val="en-GB"/>
        </w:rPr>
        <w:t>n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200</w:t>
      </w:r>
      <w:r w:rsidR="00BF3AC0">
        <w:rPr>
          <w:rFonts w:asciiTheme="minorHAnsi" w:hAnsiTheme="minorHAnsi" w:cstheme="minorHAnsi"/>
          <w:color w:val="000000"/>
          <w:sz w:val="21"/>
          <w:szCs w:val="21"/>
          <w:lang w:val="en-GB"/>
        </w:rPr>
        <w:t>3</w:t>
      </w:r>
    </w:p>
    <w:p w:rsidR="00DA1D31" w:rsidRDefault="00DA1D31" w:rsidP="00DA1D31">
      <w:pPr>
        <w:spacing w:after="0"/>
        <w:rPr>
          <w:rFonts w:asciiTheme="minorHAnsi" w:eastAsia="Times New Roman" w:hAnsiTheme="minorHAnsi" w:cstheme="minorHAnsi"/>
          <w:b/>
          <w:bCs/>
          <w:smallCaps/>
          <w:color w:val="000000"/>
          <w:sz w:val="21"/>
          <w:szCs w:val="20"/>
          <w:lang w:val="en-GB"/>
        </w:rPr>
      </w:pPr>
      <w:r w:rsidRPr="00F56D87">
        <w:rPr>
          <w:rFonts w:asciiTheme="minorHAnsi" w:eastAsia="Times New Roman" w:hAnsiTheme="minorHAnsi" w:cstheme="minorHAnsi"/>
          <w:b/>
          <w:bCs/>
          <w:smallCaps/>
          <w:color w:val="000000"/>
          <w:sz w:val="21"/>
          <w:szCs w:val="20"/>
          <w:lang w:val="en-GB"/>
        </w:rPr>
        <w:t>Accountant</w:t>
      </w:r>
    </w:p>
    <w:p w:rsidR="00DA1D31" w:rsidRPr="00C32AFD" w:rsidRDefault="00DA1D31" w:rsidP="00DA1D31">
      <w:pPr>
        <w:spacing w:after="0"/>
        <w:jc w:val="both"/>
        <w:rPr>
          <w:rFonts w:asciiTheme="minorHAnsi" w:eastAsia="Times New Roman" w:hAnsiTheme="minorHAnsi" w:cstheme="minorHAnsi"/>
          <w:b/>
          <w:bCs/>
          <w:smallCaps/>
          <w:color w:val="000000"/>
          <w:sz w:val="21"/>
          <w:szCs w:val="20"/>
          <w:lang w:val="en-GB"/>
        </w:rPr>
      </w:pPr>
      <w:r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 xml:space="preserve">Reconciled </w:t>
      </w:r>
      <w:r w:rsidRPr="00B71787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>financial discrepancies by collecting and analysing account information.</w:t>
      </w:r>
      <w:r w:rsidR="00AA28BC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 xml:space="preserve"> </w:t>
      </w:r>
      <w:r w:rsidR="00B45D23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>Ensured</w:t>
      </w:r>
      <w:r w:rsidR="00AA28BC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 xml:space="preserve"> financial records of the company </w:t>
      </w:r>
      <w:r w:rsidR="00B45D23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 xml:space="preserve">are maintained </w:t>
      </w:r>
      <w:r w:rsidR="00AA28BC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>in compliance with accepted policies and procedures.</w:t>
      </w:r>
    </w:p>
    <w:p w:rsidR="00DA1D31" w:rsidRPr="009C2021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8B62E5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:rsidR="00DA1D31" w:rsidRDefault="00DA1D31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Handled accounts up to trial balance, prepared and managed balance sheets and P &amp; L account, whilst reported to the management in case of complications. </w:t>
      </w:r>
    </w:p>
    <w:p w:rsidR="00DA1D31" w:rsidRPr="0034698A" w:rsidRDefault="00AA28BC" w:rsidP="00DA1D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Handled 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all accounts </w:t>
      </w:r>
      <w:r w:rsidR="00DA1D31" w:rsidRPr="00F56D87">
        <w:rPr>
          <w:rFonts w:asciiTheme="minorHAnsi" w:hAnsiTheme="minorHAnsi" w:cstheme="minorHAnsi"/>
          <w:bCs/>
          <w:sz w:val="21"/>
          <w:szCs w:val="21"/>
          <w:lang w:val="en-GB"/>
        </w:rPr>
        <w:t>reconciliations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, and analysed accurate recording of revenues and expenses, and 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>maintain financial records of the company</w:t>
      </w:r>
      <w:r w:rsidR="00DA1D31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:rsidR="0076606A" w:rsidRDefault="0076606A" w:rsidP="00DA1D31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</w:pPr>
    </w:p>
    <w:p w:rsidR="0076606A" w:rsidRDefault="0076606A" w:rsidP="00DA1D31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</w:pPr>
    </w:p>
    <w:p w:rsidR="00DA1D31" w:rsidRDefault="00DA1D31" w:rsidP="00DA1D31">
      <w:pPr>
        <w:spacing w:after="0"/>
        <w:jc w:val="center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F56D87"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>CAMOX GUIDE INTERNA</w:t>
      </w:r>
      <w:r>
        <w:rPr>
          <w:rFonts w:asciiTheme="minorHAnsi" w:eastAsia="Times New Roman" w:hAnsiTheme="minorHAnsi" w:cstheme="minorHAnsi"/>
          <w:b/>
          <w:color w:val="000000"/>
          <w:sz w:val="21"/>
          <w:szCs w:val="21"/>
          <w:lang w:val="en-GB"/>
        </w:rPr>
        <w:t xml:space="preserve">TIONAL </w:t>
      </w:r>
      <w:r w:rsidRPr="008B62E5">
        <w:rPr>
          <w:iCs/>
          <w:lang w:val="en-GB"/>
        </w:rPr>
        <w:sym w:font="Symbol" w:char="F0B7"/>
      </w:r>
      <w:r w:rsidR="00D65E11">
        <w:rPr>
          <w:iCs/>
          <w:lang w:val="en-GB"/>
        </w:rPr>
        <w:t xml:space="preserve"> Dubai </w:t>
      </w:r>
      <w:r w:rsidRPr="008B62E5">
        <w:rPr>
          <w:iCs/>
          <w:lang w:val="en-GB"/>
        </w:rPr>
        <w:sym w:font="Symbol" w:char="F0B7"/>
      </w:r>
      <w:r w:rsidR="00F32056">
        <w:rPr>
          <w:iCs/>
          <w:lang w:val="en-GB"/>
        </w:rPr>
        <w:t>May</w:t>
      </w:r>
      <w:r w:rsidR="00F32056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2001</w:t>
      </w:r>
      <w:r w:rsidRPr="009F33B3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F32056">
        <w:rPr>
          <w:rFonts w:asciiTheme="minorHAnsi" w:hAnsiTheme="minorHAnsi" w:cstheme="minorHAnsi"/>
          <w:color w:val="000000"/>
          <w:sz w:val="21"/>
          <w:szCs w:val="21"/>
          <w:lang w:val="en-GB"/>
        </w:rPr>
        <w:t>-</w:t>
      </w:r>
      <w:r w:rsidRPr="009F33B3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F32056">
        <w:rPr>
          <w:rFonts w:asciiTheme="minorHAnsi" w:hAnsiTheme="minorHAnsi" w:cstheme="minorHAnsi"/>
          <w:color w:val="000000"/>
          <w:sz w:val="21"/>
          <w:szCs w:val="21"/>
          <w:lang w:val="en-GB"/>
        </w:rPr>
        <w:t>Mar 2</w:t>
      </w:r>
      <w:r w:rsidRPr="009F33B3">
        <w:rPr>
          <w:rFonts w:asciiTheme="minorHAnsi" w:hAnsiTheme="minorHAnsi" w:cstheme="minorHAnsi"/>
          <w:color w:val="000000"/>
          <w:sz w:val="21"/>
          <w:szCs w:val="21"/>
          <w:lang w:val="en-GB"/>
        </w:rPr>
        <w:t>00</w:t>
      </w:r>
      <w:r w:rsidR="00F32056">
        <w:rPr>
          <w:rFonts w:asciiTheme="minorHAnsi" w:hAnsiTheme="minorHAnsi" w:cstheme="minorHAnsi"/>
          <w:color w:val="000000"/>
          <w:sz w:val="21"/>
          <w:szCs w:val="21"/>
          <w:lang w:val="en-GB"/>
        </w:rPr>
        <w:t>2</w:t>
      </w:r>
    </w:p>
    <w:p w:rsidR="00BF3AC0" w:rsidRDefault="00DA1D31" w:rsidP="00DA1D31">
      <w:pPr>
        <w:spacing w:after="0"/>
        <w:rPr>
          <w:rFonts w:asciiTheme="minorHAnsi" w:eastAsia="Times New Roman" w:hAnsiTheme="minorHAnsi" w:cstheme="minorHAnsi"/>
          <w:b/>
          <w:bCs/>
          <w:smallCaps/>
          <w:color w:val="000000"/>
          <w:sz w:val="21"/>
          <w:szCs w:val="20"/>
          <w:lang w:val="en-GB"/>
        </w:rPr>
      </w:pPr>
      <w:r w:rsidRPr="00F56D87">
        <w:rPr>
          <w:rFonts w:asciiTheme="minorHAnsi" w:eastAsia="Times New Roman" w:hAnsiTheme="minorHAnsi" w:cstheme="minorHAnsi"/>
          <w:b/>
          <w:bCs/>
          <w:smallCaps/>
          <w:color w:val="000000"/>
          <w:sz w:val="21"/>
          <w:szCs w:val="20"/>
          <w:lang w:val="en-GB"/>
        </w:rPr>
        <w:t>Accountant</w:t>
      </w:r>
    </w:p>
    <w:p w:rsidR="0004360B" w:rsidRPr="00D65E11" w:rsidRDefault="00DA1D31" w:rsidP="00DA1D31">
      <w:pPr>
        <w:spacing w:after="0"/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</w:pPr>
      <w:r w:rsidRPr="00D65E11">
        <w:rPr>
          <w:rFonts w:asciiTheme="minorHAnsi" w:eastAsia="Times New Roman" w:hAnsiTheme="minorHAnsi" w:cstheme="minorHAnsi"/>
          <w:bCs/>
          <w:sz w:val="21"/>
          <w:szCs w:val="21"/>
          <w:lang w:val="en-GB"/>
        </w:rPr>
        <w:t xml:space="preserve">Ensured financial records of the company are maintained in compliance with the accepted policies and procedures. Reviewed the reimbursement report for arithmetic accuracy, and verified payment vouchers and supporting documents. </w:t>
      </w:r>
    </w:p>
    <w:p w:rsidR="00DA1D31" w:rsidRPr="00D65E11" w:rsidRDefault="00DA1D31" w:rsidP="00DA1D31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D65E11">
        <w:rPr>
          <w:rFonts w:asciiTheme="minorHAnsi" w:hAnsiTheme="minorHAnsi" w:cstheme="minorHAnsi"/>
          <w:b/>
          <w:bCs/>
          <w:sz w:val="21"/>
          <w:szCs w:val="21"/>
          <w:lang w:val="en-GB"/>
        </w:rPr>
        <w:t>Key Accomplishments:</w:t>
      </w:r>
    </w:p>
    <w:p w:rsidR="0004360B" w:rsidRPr="0034698A" w:rsidRDefault="0004360B" w:rsidP="000436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Handled all accounts </w:t>
      </w:r>
      <w:r w:rsidRPr="00F56D87">
        <w:rPr>
          <w:rFonts w:asciiTheme="minorHAnsi" w:hAnsiTheme="minorHAnsi" w:cstheme="minorHAnsi"/>
          <w:bCs/>
          <w:sz w:val="21"/>
          <w:szCs w:val="21"/>
          <w:lang w:val="en-GB"/>
        </w:rPr>
        <w:t>reconciliations</w:t>
      </w:r>
      <w:r>
        <w:rPr>
          <w:rFonts w:asciiTheme="minorHAnsi" w:hAnsiTheme="minorHAnsi" w:cstheme="minorHAnsi"/>
          <w:bCs/>
          <w:sz w:val="21"/>
          <w:szCs w:val="21"/>
          <w:lang w:val="en-GB"/>
        </w:rPr>
        <w:t xml:space="preserve">, and analysed accurate recording of revenues and expenses, and maintain financial records of the company. </w:t>
      </w:r>
    </w:p>
    <w:p w:rsidR="00DA1D31" w:rsidRPr="00D65E11" w:rsidRDefault="00DA1D31" w:rsidP="0004360B">
      <w:pPr>
        <w:pStyle w:val="BodyText"/>
        <w:tabs>
          <w:tab w:val="right" w:pos="360"/>
        </w:tabs>
        <w:spacing w:before="60"/>
        <w:ind w:left="9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65E11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 </w:t>
      </w:r>
    </w:p>
    <w:p w:rsidR="00DA1D31" w:rsidRPr="008B62E5" w:rsidRDefault="008C69C4" w:rsidP="00DA1D31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W</w:t>
      </w:r>
      <w:r w:rsidR="00DA1D31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ork Chronology</w:t>
      </w:r>
    </w:p>
    <w:p w:rsidR="00421F55" w:rsidRDefault="00421F55" w:rsidP="002D22D8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val="en-GB"/>
        </w:rPr>
      </w:pPr>
    </w:p>
    <w:p w:rsidR="00DA1D31" w:rsidRDefault="00DA1D31" w:rsidP="002D22D8">
      <w:pPr>
        <w:jc w:val="center"/>
        <w:rPr>
          <w:rFonts w:asciiTheme="minorHAnsi" w:eastAsia="Times New Roman" w:hAnsiTheme="minorHAnsi" w:cstheme="minorHAnsi"/>
          <w:bCs/>
          <w:smallCaps/>
          <w:color w:val="000000"/>
          <w:sz w:val="21"/>
          <w:szCs w:val="20"/>
          <w:lang w:val="en-GB"/>
        </w:rPr>
      </w:pPr>
      <w:r w:rsidRPr="002D22D8">
        <w:rPr>
          <w:rFonts w:asciiTheme="minorHAnsi" w:eastAsia="Times New Roman" w:hAnsiTheme="minorHAnsi" w:cstheme="minorHAnsi"/>
          <w:color w:val="000000"/>
          <w:sz w:val="21"/>
          <w:szCs w:val="21"/>
          <w:lang w:val="en-GB"/>
        </w:rPr>
        <w:t xml:space="preserve">KERALA CHEMICALS &amp; PROTEINS LTD. COCHIN, INDIA, </w:t>
      </w:r>
      <w:r w:rsidRPr="002D22D8">
        <w:rPr>
          <w:rFonts w:asciiTheme="minorHAnsi" w:eastAsia="Times New Roman" w:hAnsiTheme="minorHAnsi" w:cstheme="minorHAnsi"/>
          <w:bCs/>
          <w:smallCaps/>
          <w:color w:val="000000"/>
          <w:sz w:val="21"/>
          <w:szCs w:val="20"/>
          <w:lang w:val="en-GB"/>
        </w:rPr>
        <w:t>Accountant</w:t>
      </w:r>
    </w:p>
    <w:p w:rsidR="00DA1D31" w:rsidRPr="008B62E5" w:rsidRDefault="00DA1D31" w:rsidP="00DA1D31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lastRenderedPageBreak/>
        <w:t xml:space="preserve">Technical Qualification </w:t>
      </w:r>
    </w:p>
    <w:p w:rsidR="00421F55" w:rsidRDefault="00421F55" w:rsidP="00914EE5">
      <w:pPr>
        <w:spacing w:after="0" w:line="240" w:lineRule="auto"/>
        <w:jc w:val="center"/>
        <w:rPr>
          <w:rFonts w:asciiTheme="minorHAnsi" w:hAnsiTheme="minorHAnsi" w:cstheme="minorHAnsi"/>
          <w:iCs/>
          <w:sz w:val="21"/>
          <w:szCs w:val="20"/>
          <w:lang w:val="en-GB"/>
        </w:rPr>
      </w:pPr>
    </w:p>
    <w:p w:rsidR="00421F55" w:rsidRDefault="00DA1D31" w:rsidP="00BF3AC0">
      <w:pPr>
        <w:spacing w:after="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DA0C94">
        <w:rPr>
          <w:rFonts w:asciiTheme="minorHAnsi" w:hAnsiTheme="minorHAnsi" w:cstheme="minorHAnsi"/>
          <w:iCs/>
          <w:sz w:val="21"/>
          <w:szCs w:val="20"/>
          <w:lang w:val="en-GB"/>
        </w:rPr>
        <w:t>Certified in Tally, Focus and Peach Tree Accounting Packages</w:t>
      </w:r>
    </w:p>
    <w:p w:rsidR="00DA1D31" w:rsidRPr="008B62E5" w:rsidRDefault="00DA1D31" w:rsidP="00914EE5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Education &amp; Training</w:t>
      </w:r>
    </w:p>
    <w:p w:rsidR="00DA1D31" w:rsidRDefault="00DA1D31" w:rsidP="00DA1D31">
      <w:pPr>
        <w:pStyle w:val="BodyText"/>
        <w:spacing w:before="240"/>
        <w:jc w:val="center"/>
        <w:rPr>
          <w:rFonts w:asciiTheme="minorHAnsi" w:hAnsiTheme="minorHAnsi" w:cstheme="minorHAnsi"/>
          <w:sz w:val="21"/>
          <w:szCs w:val="20"/>
          <w:lang w:val="en-GB"/>
        </w:rPr>
      </w:pPr>
      <w:r w:rsidRPr="008F5A04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Master of Commerce (M. Com)</w:t>
      </w:r>
      <w:r w:rsidRP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, [</w:t>
      </w:r>
      <w:r w:rsidR="00B45D23" w:rsidRP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Calicut University, Kerala</w:t>
      </w:r>
      <w:r w:rsid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,</w:t>
      </w:r>
      <w:r w:rsidR="00B45D23" w:rsidRP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 India</w:t>
      </w:r>
      <w:r w:rsidRPr="00B45D23">
        <w:rPr>
          <w:rFonts w:asciiTheme="minorHAnsi" w:hAnsiTheme="minorHAnsi" w:cstheme="minorHAnsi"/>
          <w:b/>
          <w:sz w:val="21"/>
          <w:szCs w:val="20"/>
          <w:lang w:val="en-GB"/>
        </w:rPr>
        <w:t>]</w:t>
      </w:r>
    </w:p>
    <w:p w:rsidR="00DA1D31" w:rsidRDefault="00DA1D31" w:rsidP="00DA1D31">
      <w:pPr>
        <w:pStyle w:val="BodyText"/>
        <w:jc w:val="center"/>
        <w:rPr>
          <w:rFonts w:asciiTheme="minorHAnsi" w:hAnsiTheme="minorHAnsi" w:cstheme="minorHAnsi"/>
          <w:sz w:val="21"/>
          <w:szCs w:val="20"/>
          <w:lang w:val="en-GB"/>
        </w:rPr>
      </w:pPr>
    </w:p>
    <w:p w:rsidR="00DA1D31" w:rsidRDefault="00DA1D31" w:rsidP="00DA1D31">
      <w:pPr>
        <w:pStyle w:val="BodyText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8F5A04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Bachelor of Commerce (B. Com)</w:t>
      </w:r>
      <w:r w:rsidRPr="00B45D23">
        <w:rPr>
          <w:rFonts w:asciiTheme="minorHAnsi" w:hAnsiTheme="minorHAnsi" w:cstheme="minorHAnsi"/>
          <w:b/>
          <w:sz w:val="21"/>
          <w:szCs w:val="21"/>
          <w:lang w:val="en-GB"/>
        </w:rPr>
        <w:t>, [</w:t>
      </w:r>
      <w:r w:rsidRP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Calicut University, Kerala</w:t>
      </w:r>
      <w:r w:rsid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,</w:t>
      </w:r>
      <w:r w:rsidRPr="00B45D23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 India</w:t>
      </w:r>
      <w:r w:rsidRPr="00B45D23">
        <w:rPr>
          <w:rFonts w:asciiTheme="minorHAnsi" w:hAnsiTheme="minorHAnsi" w:cstheme="minorHAnsi"/>
          <w:b/>
          <w:sz w:val="21"/>
          <w:szCs w:val="21"/>
          <w:lang w:val="en-GB"/>
        </w:rPr>
        <w:t>]</w:t>
      </w:r>
    </w:p>
    <w:p w:rsidR="00DA1D31" w:rsidRDefault="00DA1D31" w:rsidP="00DA1D31">
      <w:pPr>
        <w:pStyle w:val="BodyText"/>
        <w:jc w:val="center"/>
        <w:rPr>
          <w:rFonts w:asciiTheme="minorHAnsi" w:hAnsiTheme="minorHAnsi" w:cstheme="minorHAnsi"/>
          <w:sz w:val="21"/>
          <w:szCs w:val="21"/>
          <w:lang w:val="en-GB"/>
        </w:rPr>
      </w:pPr>
    </w:p>
    <w:p w:rsidR="00DA1D31" w:rsidRPr="00380A02" w:rsidRDefault="00DA1D31" w:rsidP="00DA1D31">
      <w:pPr>
        <w:spacing w:line="360" w:lineRule="auto"/>
        <w:jc w:val="both"/>
        <w:rPr>
          <w:rFonts w:asciiTheme="minorHAnsi" w:hAnsiTheme="minorHAnsi" w:cstheme="minorHAnsi"/>
          <w:iCs/>
          <w:sz w:val="21"/>
          <w:szCs w:val="20"/>
          <w:lang w:val="en-GB"/>
        </w:rPr>
      </w:pPr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>On boarding and Group Compliance Policies</w:t>
      </w:r>
      <w:r w:rsidR="00B45D23">
        <w:rPr>
          <w:rFonts w:asciiTheme="minorHAnsi" w:hAnsiTheme="minorHAnsi" w:cstheme="minorHAnsi"/>
          <w:iCs/>
          <w:sz w:val="21"/>
          <w:szCs w:val="20"/>
          <w:lang w:val="en-GB"/>
        </w:rPr>
        <w:t xml:space="preserve"> </w:t>
      </w:r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>-</w:t>
      </w:r>
      <w:r w:rsidR="00B45D23">
        <w:rPr>
          <w:rFonts w:asciiTheme="minorHAnsi" w:hAnsiTheme="minorHAnsi" w:cstheme="minorHAnsi"/>
          <w:iCs/>
          <w:sz w:val="21"/>
          <w:szCs w:val="20"/>
          <w:lang w:val="en-GB"/>
        </w:rPr>
        <w:t xml:space="preserve"> </w:t>
      </w:r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>Commercial Banking | AML, Sanctions, KYC</w:t>
      </w:r>
      <w:r w:rsidR="00B45D23">
        <w:rPr>
          <w:rFonts w:asciiTheme="minorHAnsi" w:hAnsiTheme="minorHAnsi" w:cstheme="minorHAnsi"/>
          <w:iCs/>
          <w:sz w:val="21"/>
          <w:szCs w:val="20"/>
          <w:lang w:val="en-GB"/>
        </w:rPr>
        <w:t xml:space="preserve"> </w:t>
      </w:r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 xml:space="preserve">| Risk Assessment for commercial bankers | Credit Appraisal Techniques, EIBFS, </w:t>
      </w:r>
      <w:proofErr w:type="spellStart"/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>Sharjah</w:t>
      </w:r>
      <w:proofErr w:type="spellEnd"/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 xml:space="preserve"> | Certified Credit Analyst Diploma accredited by the American Academy of Financial Management | Fundamentals of Islamic Banking, Abu Dhabi Islamic Bank |  Attended Personality Development and Public Speaking course based on Dale Carnegie System from Awakening Foundation, Bangalore, India</w:t>
      </w:r>
      <w:r w:rsidRPr="00380A02">
        <w:rPr>
          <w:rFonts w:asciiTheme="minorHAnsi" w:hAnsiTheme="minorHAnsi" w:cstheme="minorHAnsi"/>
          <w:iCs/>
          <w:sz w:val="21"/>
          <w:szCs w:val="20"/>
          <w:lang w:val="en-GB"/>
        </w:rPr>
        <w:tab/>
      </w:r>
    </w:p>
    <w:p w:rsidR="00DA1D31" w:rsidRPr="00380A02" w:rsidRDefault="00DA1D31" w:rsidP="00DA1D31">
      <w:pPr>
        <w:jc w:val="both"/>
        <w:rPr>
          <w:rFonts w:asciiTheme="minorHAnsi" w:hAnsiTheme="minorHAnsi" w:cstheme="minorHAnsi"/>
          <w:iCs/>
          <w:sz w:val="21"/>
          <w:szCs w:val="20"/>
          <w:lang w:val="en-GB"/>
        </w:rPr>
      </w:pPr>
    </w:p>
    <w:p w:rsidR="00DA1D31" w:rsidRPr="0019675A" w:rsidRDefault="00DA1D31" w:rsidP="00DA1D31">
      <w:pPr>
        <w:jc w:val="both"/>
        <w:rPr>
          <w:i/>
        </w:rPr>
      </w:pPr>
    </w:p>
    <w:p w:rsidR="00DA1D31" w:rsidRPr="0019675A" w:rsidRDefault="00DA1D31" w:rsidP="00DA1D31">
      <w:pPr>
        <w:jc w:val="both"/>
        <w:rPr>
          <w:i/>
        </w:rPr>
      </w:pPr>
    </w:p>
    <w:p w:rsidR="00DA1D31" w:rsidRDefault="00DA1D31" w:rsidP="00DA1D31">
      <w:pPr>
        <w:jc w:val="both"/>
        <w:rPr>
          <w:bCs/>
          <w:i/>
        </w:rPr>
      </w:pPr>
    </w:p>
    <w:p w:rsidR="00DA1D31" w:rsidRDefault="00DA1D31" w:rsidP="00DA1D31">
      <w:pPr>
        <w:jc w:val="both"/>
        <w:rPr>
          <w:bCs/>
          <w:i/>
        </w:rPr>
      </w:pPr>
    </w:p>
    <w:p w:rsidR="00DA1D31" w:rsidRDefault="00DA1D31" w:rsidP="00DA1D31">
      <w:pPr>
        <w:jc w:val="both"/>
        <w:rPr>
          <w:bCs/>
          <w:i/>
        </w:rPr>
      </w:pPr>
    </w:p>
    <w:p w:rsidR="00CB2811" w:rsidRPr="00DA1D31" w:rsidRDefault="00CB2811" w:rsidP="00DA1D31"/>
    <w:sectPr w:rsidR="00CB2811" w:rsidRPr="00DA1D31" w:rsidSect="000224D5">
      <w:headerReference w:type="even" r:id="rId9"/>
      <w:headerReference w:type="default" r:id="rId10"/>
      <w:type w:val="continuous"/>
      <w:pgSz w:w="11909" w:h="16834" w:code="9"/>
      <w:pgMar w:top="1080" w:right="720" w:bottom="108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4C" w:rsidRDefault="0054764C">
      <w:pPr>
        <w:spacing w:after="0" w:line="240" w:lineRule="auto"/>
      </w:pPr>
      <w:r>
        <w:separator/>
      </w:r>
    </w:p>
  </w:endnote>
  <w:endnote w:type="continuationSeparator" w:id="0">
    <w:p w:rsidR="0054764C" w:rsidRDefault="005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4C" w:rsidRDefault="0054764C">
      <w:pPr>
        <w:spacing w:after="0" w:line="240" w:lineRule="auto"/>
      </w:pPr>
      <w:r>
        <w:separator/>
      </w:r>
    </w:p>
  </w:footnote>
  <w:footnote w:type="continuationSeparator" w:id="0">
    <w:p w:rsidR="0054764C" w:rsidRDefault="005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D5" w:rsidRPr="00050638" w:rsidRDefault="002B689D" w:rsidP="000224D5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proofErr w:type="spellStart"/>
    <w:r w:rsidRPr="00115334">
      <w:rPr>
        <w:rFonts w:asciiTheme="majorHAnsi" w:hAnsiTheme="majorHAnsi" w:cs="Tahoma"/>
        <w:b/>
        <w:iCs/>
        <w:color w:val="000000"/>
        <w:sz w:val="36"/>
        <w:szCs w:val="36"/>
        <w:lang w:val="en-GB"/>
      </w:rPr>
      <w:t>Hazeena</w:t>
    </w:r>
    <w:proofErr w:type="spellEnd"/>
    <w:r w:rsidRPr="00115334">
      <w:rPr>
        <w:rFonts w:asciiTheme="majorHAnsi" w:hAnsiTheme="majorHAnsi" w:cs="Tahoma"/>
        <w:b/>
        <w:iCs/>
        <w:color w:val="000000"/>
        <w:sz w:val="36"/>
        <w:szCs w:val="36"/>
        <w:lang w:val="en-GB"/>
      </w:rPr>
      <w:t xml:space="preserve"> </w:t>
    </w:r>
  </w:p>
  <w:p w:rsidR="000224D5" w:rsidRPr="0022036D" w:rsidRDefault="000224D5" w:rsidP="000224D5">
    <w:pPr>
      <w:tabs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 w:rsidR="00813C33">
      <w:rPr>
        <w:rFonts w:asciiTheme="minorHAnsi" w:hAnsiTheme="minorHAnsi" w:cstheme="minorHAnsi"/>
        <w:i/>
        <w:sz w:val="21"/>
        <w:szCs w:val="21"/>
      </w:rPr>
      <w:t xml:space="preserve">Page Two </w:t>
    </w:r>
  </w:p>
  <w:p w:rsidR="000224D5" w:rsidRDefault="00022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11" w:rsidRPr="0022036D" w:rsidRDefault="00CB2811" w:rsidP="00CB2811">
    <w:pPr>
      <w:tabs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 xml:space="preserve">Page </w:t>
    </w:r>
    <w:r w:rsidR="000224D5">
      <w:rPr>
        <w:rFonts w:asciiTheme="minorHAnsi" w:hAnsiTheme="minorHAnsi" w:cstheme="minorHAnsi"/>
        <w:i/>
        <w:sz w:val="21"/>
        <w:szCs w:val="21"/>
      </w:rPr>
      <w:t xml:space="preserve">Three </w:t>
    </w:r>
  </w:p>
  <w:p w:rsidR="00CB2811" w:rsidRPr="00A33EC2" w:rsidRDefault="00CB2811" w:rsidP="00CB2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8F4"/>
    <w:rsid w:val="000224D5"/>
    <w:rsid w:val="0004360B"/>
    <w:rsid w:val="00050638"/>
    <w:rsid w:val="000A27BE"/>
    <w:rsid w:val="000A5A0C"/>
    <w:rsid w:val="000B33C3"/>
    <w:rsid w:val="000C76C7"/>
    <w:rsid w:val="000E1F91"/>
    <w:rsid w:val="00156859"/>
    <w:rsid w:val="001644E0"/>
    <w:rsid w:val="001C7E4B"/>
    <w:rsid w:val="001F6AF2"/>
    <w:rsid w:val="00217099"/>
    <w:rsid w:val="0022036D"/>
    <w:rsid w:val="00253152"/>
    <w:rsid w:val="00257A7E"/>
    <w:rsid w:val="002606D2"/>
    <w:rsid w:val="002A38F4"/>
    <w:rsid w:val="002B429A"/>
    <w:rsid w:val="002B689D"/>
    <w:rsid w:val="002D22D8"/>
    <w:rsid w:val="002D597C"/>
    <w:rsid w:val="002D5D50"/>
    <w:rsid w:val="002E6BFF"/>
    <w:rsid w:val="002F12E1"/>
    <w:rsid w:val="003166A3"/>
    <w:rsid w:val="003173E9"/>
    <w:rsid w:val="00323320"/>
    <w:rsid w:val="00335BDA"/>
    <w:rsid w:val="00341182"/>
    <w:rsid w:val="00371413"/>
    <w:rsid w:val="003872B7"/>
    <w:rsid w:val="003A290F"/>
    <w:rsid w:val="003A2963"/>
    <w:rsid w:val="003C5ED6"/>
    <w:rsid w:val="003E02DE"/>
    <w:rsid w:val="003E5660"/>
    <w:rsid w:val="003F636F"/>
    <w:rsid w:val="003F78EA"/>
    <w:rsid w:val="0041531E"/>
    <w:rsid w:val="00421F55"/>
    <w:rsid w:val="00422ECA"/>
    <w:rsid w:val="00472707"/>
    <w:rsid w:val="00495FCA"/>
    <w:rsid w:val="004A40E3"/>
    <w:rsid w:val="004B2981"/>
    <w:rsid w:val="004B5E47"/>
    <w:rsid w:val="004E06CC"/>
    <w:rsid w:val="004F19A2"/>
    <w:rsid w:val="00505AB5"/>
    <w:rsid w:val="0054725F"/>
    <w:rsid w:val="0054764C"/>
    <w:rsid w:val="0055331E"/>
    <w:rsid w:val="005B0675"/>
    <w:rsid w:val="005B528A"/>
    <w:rsid w:val="005E7671"/>
    <w:rsid w:val="0060644F"/>
    <w:rsid w:val="00611963"/>
    <w:rsid w:val="006362A0"/>
    <w:rsid w:val="00642413"/>
    <w:rsid w:val="006632E9"/>
    <w:rsid w:val="006815DC"/>
    <w:rsid w:val="006962E5"/>
    <w:rsid w:val="006E2676"/>
    <w:rsid w:val="00754852"/>
    <w:rsid w:val="0076606A"/>
    <w:rsid w:val="007D2107"/>
    <w:rsid w:val="007D48B6"/>
    <w:rsid w:val="00804481"/>
    <w:rsid w:val="00813C33"/>
    <w:rsid w:val="00897B27"/>
    <w:rsid w:val="008B62E5"/>
    <w:rsid w:val="008C6380"/>
    <w:rsid w:val="008C69C4"/>
    <w:rsid w:val="008E2F02"/>
    <w:rsid w:val="008E7AEC"/>
    <w:rsid w:val="0091234A"/>
    <w:rsid w:val="00914EE5"/>
    <w:rsid w:val="00924D35"/>
    <w:rsid w:val="00982465"/>
    <w:rsid w:val="00985895"/>
    <w:rsid w:val="009A3ACD"/>
    <w:rsid w:val="009B4768"/>
    <w:rsid w:val="009F67BB"/>
    <w:rsid w:val="00A07E76"/>
    <w:rsid w:val="00A11D71"/>
    <w:rsid w:val="00A177B3"/>
    <w:rsid w:val="00A26754"/>
    <w:rsid w:val="00A30622"/>
    <w:rsid w:val="00A54B66"/>
    <w:rsid w:val="00A67EAA"/>
    <w:rsid w:val="00A76210"/>
    <w:rsid w:val="00A91622"/>
    <w:rsid w:val="00A97F76"/>
    <w:rsid w:val="00AA28BC"/>
    <w:rsid w:val="00AA6BD7"/>
    <w:rsid w:val="00AC263E"/>
    <w:rsid w:val="00AE2EE9"/>
    <w:rsid w:val="00B0396D"/>
    <w:rsid w:val="00B3041B"/>
    <w:rsid w:val="00B377E2"/>
    <w:rsid w:val="00B45D23"/>
    <w:rsid w:val="00B56B39"/>
    <w:rsid w:val="00B74E90"/>
    <w:rsid w:val="00B90E2D"/>
    <w:rsid w:val="00BB264B"/>
    <w:rsid w:val="00BB5754"/>
    <w:rsid w:val="00BC0397"/>
    <w:rsid w:val="00BE5D20"/>
    <w:rsid w:val="00BF3AC0"/>
    <w:rsid w:val="00BF5691"/>
    <w:rsid w:val="00BF72DB"/>
    <w:rsid w:val="00C003AD"/>
    <w:rsid w:val="00C35E6D"/>
    <w:rsid w:val="00C74901"/>
    <w:rsid w:val="00C829FE"/>
    <w:rsid w:val="00C82BD0"/>
    <w:rsid w:val="00C82D09"/>
    <w:rsid w:val="00C919CD"/>
    <w:rsid w:val="00CA194B"/>
    <w:rsid w:val="00CB2811"/>
    <w:rsid w:val="00CC4BFF"/>
    <w:rsid w:val="00CE7FC4"/>
    <w:rsid w:val="00D1749B"/>
    <w:rsid w:val="00D552D3"/>
    <w:rsid w:val="00D65E11"/>
    <w:rsid w:val="00D667C3"/>
    <w:rsid w:val="00D75559"/>
    <w:rsid w:val="00D86D80"/>
    <w:rsid w:val="00D95921"/>
    <w:rsid w:val="00DA1D31"/>
    <w:rsid w:val="00DE60C6"/>
    <w:rsid w:val="00E0660D"/>
    <w:rsid w:val="00E232E6"/>
    <w:rsid w:val="00E3420B"/>
    <w:rsid w:val="00E37837"/>
    <w:rsid w:val="00EA5FF6"/>
    <w:rsid w:val="00EF23A0"/>
    <w:rsid w:val="00F07466"/>
    <w:rsid w:val="00F32056"/>
    <w:rsid w:val="00F324D2"/>
    <w:rsid w:val="00FD5950"/>
    <w:rsid w:val="00FF05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D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D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D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ena.3713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Hazeena Ismail's Standard Resume</vt:lpstr>
    </vt:vector>
  </TitlesOfParts>
  <LinksUpToDate>false</LinksUpToDate>
  <CharactersWithSpaces>5732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Hazeena Ismail's Standard Resume</dc:title>
  <dc:creator/>
  <cp:lastModifiedBy/>
  <cp:revision>1</cp:revision>
  <dcterms:created xsi:type="dcterms:W3CDTF">2017-07-23T06:43:00Z</dcterms:created>
  <dcterms:modified xsi:type="dcterms:W3CDTF">2017-07-25T10:58:00Z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prcv4mi-v1</vt:lpwstr>
  </property>
  <property fmtid="{D5CDD505-2E9C-101B-9397-08002B2CF9AE}" pid="3" name="tal_id">
    <vt:lpwstr>7e6a7a91aa254422d9df7dbae463dc65</vt:lpwstr>
  </property>
</Properties>
</file>