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B08B" w14:textId="77777777" w:rsidR="009F7345" w:rsidRDefault="00924837">
      <w:pPr>
        <w:pStyle w:val="Heading2"/>
        <w:shd w:val="clear" w:color="auto" w:fill="BFBFBF" w:themeFill="background1" w:themeFillShade="BF"/>
        <w:rPr>
          <w:rFonts w:ascii="Tahoma" w:hAnsi="Tahoma" w:cs="Tahoma"/>
          <w:lang w:val="it-IT"/>
        </w:rPr>
        <w:sectPr w:rsidR="009F7345">
          <w:pgSz w:w="11906" w:h="16838"/>
          <w:pgMar w:top="567" w:right="567" w:bottom="567" w:left="567" w:header="567" w:footer="567" w:gutter="0"/>
          <w:cols w:num="2" w:space="720" w:equalWidth="0">
            <w:col w:w="2835" w:space="568"/>
            <w:col w:w="7368"/>
          </w:cols>
          <w:docGrid w:linePitch="360"/>
        </w:sect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ECF0" wp14:editId="70728049">
                <wp:simplePos x="0" y="0"/>
                <wp:positionH relativeFrom="column">
                  <wp:posOffset>1786255</wp:posOffset>
                </wp:positionH>
                <wp:positionV relativeFrom="paragraph">
                  <wp:posOffset>-10160</wp:posOffset>
                </wp:positionV>
                <wp:extent cx="29845" cy="9636760"/>
                <wp:effectExtent l="57150" t="19050" r="65405" b="977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49" cy="96369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 xmlns:mv="urn:schemas-microsoft-com:mac:vml" xmlns:mo="http://schemas.microsoft.com/office/mac/office/2008/main">
            <w:pict>
              <v:line id="_x0000_s1026" o:spid="_x0000_s1026" o:spt="20" style="position:absolute;left:0pt;flip:x;margin-left:140.65pt;margin-top:-0.8pt;height:758.8pt;width:2.35pt;z-index:251659264;mso-width-relative:page;mso-height-relative:page;" filled="f" stroked="t" coordsize="21600,21600" o:gfxdata="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hnef9oAAAALAQAADwAAAAAAAAABACAAAAAiAAAAZHJzL2Rv&#10;d25yZXYueG1sUEsBAhQAFAAAAAgAh07iQL7O0eD/AQAACgQAAA4AAAAAAAAAAQAgAAAAKQEAAGRy&#10;cy9lMm9Eb2MueG1sUEsFBgAAAAAGAAYAWQEAAJo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B06D33" wp14:editId="525A20F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00225" cy="17976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7655A" w14:textId="529946FF" w:rsidR="009F7345" w:rsidRPr="00924837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  <w:lang w:val="it-IT"/>
        </w:rPr>
        <w:t xml:space="preserve">Clinton </w:t>
      </w:r>
    </w:p>
    <w:p w14:paraId="4E980D44" w14:textId="7F2EEE83" w:rsidR="009F7345" w:rsidRDefault="00924837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Email: </w:t>
      </w:r>
      <w:r w:rsidR="001E118A">
        <w:rPr>
          <w:rFonts w:ascii="Tahoma" w:hAnsi="Tahoma" w:cs="Tahoma"/>
          <w:sz w:val="20"/>
          <w:szCs w:val="20"/>
          <w:lang w:val="it-IT"/>
        </w:rPr>
        <w:fldChar w:fldCharType="begin"/>
      </w:r>
      <w:r w:rsidR="001E118A">
        <w:rPr>
          <w:rFonts w:ascii="Tahoma" w:hAnsi="Tahoma" w:cs="Tahoma"/>
          <w:sz w:val="20"/>
          <w:szCs w:val="20"/>
          <w:lang w:val="it-IT"/>
        </w:rPr>
        <w:instrText xml:space="preserve"> HYPERLINK "mailto:</w:instrText>
      </w:r>
      <w:r w:rsidR="001E118A" w:rsidRPr="001E118A">
        <w:rPr>
          <w:rFonts w:ascii="Tahoma" w:hAnsi="Tahoma" w:cs="Tahoma"/>
          <w:sz w:val="20"/>
          <w:szCs w:val="20"/>
          <w:lang w:val="it-IT"/>
        </w:rPr>
        <w:instrText>clinton</w:instrText>
      </w:r>
      <w:r w:rsidR="001E118A">
        <w:rPr>
          <w:rStyle w:val="Hyperlink"/>
          <w:rFonts w:ascii="Tahoma" w:hAnsi="Tahoma" w:cs="Tahoma"/>
          <w:sz w:val="20"/>
          <w:szCs w:val="20"/>
          <w:lang w:val="it-IT"/>
        </w:rPr>
        <w:instrText>.372725</w:instrText>
      </w:r>
      <w:r w:rsidR="001E118A" w:rsidRPr="001E118A">
        <w:rPr>
          <w:rStyle w:val="Hyperlink"/>
          <w:rFonts w:ascii="Tahoma" w:hAnsi="Tahoma" w:cs="Tahoma"/>
          <w:sz w:val="20"/>
          <w:szCs w:val="20"/>
          <w:lang w:val="it-IT"/>
        </w:rPr>
        <w:instrText>@2freemail.com</w:instrText>
      </w:r>
      <w:r w:rsidR="001E118A">
        <w:rPr>
          <w:rFonts w:ascii="Tahoma" w:hAnsi="Tahoma" w:cs="Tahoma"/>
          <w:sz w:val="20"/>
          <w:szCs w:val="20"/>
          <w:lang w:val="it-IT"/>
        </w:rPr>
        <w:instrText xml:space="preserve">" </w:instrText>
      </w:r>
      <w:r w:rsidR="001E118A">
        <w:rPr>
          <w:rFonts w:ascii="Tahoma" w:hAnsi="Tahoma" w:cs="Tahoma"/>
          <w:sz w:val="20"/>
          <w:szCs w:val="20"/>
          <w:lang w:val="it-IT"/>
        </w:rPr>
        <w:fldChar w:fldCharType="separate"/>
      </w:r>
      <w:r w:rsidR="001E118A" w:rsidRPr="00D22F2E">
        <w:rPr>
          <w:rStyle w:val="Hyperlink"/>
          <w:rFonts w:ascii="Tahoma" w:hAnsi="Tahoma" w:cs="Tahoma"/>
          <w:sz w:val="20"/>
          <w:szCs w:val="20"/>
          <w:lang w:val="it-IT"/>
        </w:rPr>
        <w:t>clinton.372725@2freemail.com</w:t>
      </w:r>
      <w:r w:rsidR="001E118A">
        <w:rPr>
          <w:rFonts w:ascii="Tahoma" w:hAnsi="Tahoma" w:cs="Tahoma"/>
          <w:sz w:val="20"/>
          <w:szCs w:val="20"/>
          <w:lang w:val="it-IT"/>
        </w:rPr>
        <w:fldChar w:fldCharType="end"/>
      </w:r>
      <w:r w:rsidR="001E118A">
        <w:rPr>
          <w:rFonts w:ascii="Tahoma" w:hAnsi="Tahoma" w:cs="Tahoma"/>
          <w:sz w:val="20"/>
          <w:szCs w:val="20"/>
          <w:lang w:val="it-IT"/>
        </w:rPr>
        <w:t xml:space="preserve"> </w:t>
      </w:r>
      <w:r w:rsidR="001E118A">
        <w:rPr>
          <w:rStyle w:val="Hyperlink"/>
          <w:rFonts w:ascii="Tahoma" w:hAnsi="Tahoma" w:cs="Tahoma"/>
          <w:sz w:val="20"/>
          <w:szCs w:val="20"/>
          <w:lang w:val="it-IT"/>
        </w:rPr>
        <w:t xml:space="preserve"> </w:t>
      </w:r>
    </w:p>
    <w:p w14:paraId="2279DF02" w14:textId="77777777" w:rsidR="009F7345" w:rsidRDefault="009F7345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bookmarkStart w:id="0" w:name="_GoBack"/>
      <w:bookmarkEnd w:id="0"/>
    </w:p>
    <w:p w14:paraId="386D0766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PERSONAL INFORMATION</w:t>
      </w:r>
    </w:p>
    <w:p w14:paraId="49C1AC52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Age: 34</w:t>
      </w:r>
    </w:p>
    <w:p w14:paraId="25FC9E95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Birthday: April 5, 1983</w:t>
      </w:r>
    </w:p>
    <w:p w14:paraId="675C76F8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Birthplace: Tacloban City</w:t>
      </w:r>
    </w:p>
    <w:p w14:paraId="614CF4D0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Gender: Male</w:t>
      </w:r>
    </w:p>
    <w:p w14:paraId="6058BEE7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Height: 5’4</w:t>
      </w:r>
    </w:p>
    <w:p w14:paraId="47A0A0F9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Citizenship: Filipino</w:t>
      </w:r>
    </w:p>
    <w:p w14:paraId="784C505D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="Tahoma" w:hAnsi="Tahoma" w:cs="Tahoma"/>
          <w:b w:val="0"/>
          <w:sz w:val="20"/>
          <w:szCs w:val="20"/>
          <w:lang w:val="it-IT"/>
        </w:rPr>
        <w:t>Languages: English and Filipino</w:t>
      </w:r>
    </w:p>
    <w:p w14:paraId="22B3ECCF" w14:textId="77777777" w:rsidR="009F7345" w:rsidRDefault="009F7345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</w:p>
    <w:p w14:paraId="6B907FC3" w14:textId="77777777" w:rsidR="009F7345" w:rsidRDefault="00924837">
      <w:pPr>
        <w:pStyle w:val="Heading2"/>
        <w:shd w:val="clear" w:color="auto" w:fill="BFBFBF" w:themeFill="background1" w:themeFillShade="BF"/>
        <w:jc w:val="left"/>
        <w:rPr>
          <w:rFonts w:ascii="Tahoma" w:hAnsi="Tahoma" w:cs="Tahoma"/>
          <w:b w:val="0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</w:rPr>
        <w:t>EDUCATION</w:t>
      </w:r>
      <w:r>
        <w:rPr>
          <w:rFonts w:ascii="Tahoma" w:hAnsi="Tahoma" w:cs="Tahoma"/>
          <w:sz w:val="20"/>
          <w:szCs w:val="20"/>
          <w:lang w:val="it-IT"/>
        </w:rPr>
        <w:br/>
        <w:t xml:space="preserve">Tertiary: Cum Laude </w:t>
      </w:r>
    </w:p>
    <w:p w14:paraId="21824F62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Bachelor of Science in Accountancy</w:t>
      </w:r>
    </w:p>
    <w:p w14:paraId="1F2C19AD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St. Paul’s Business School </w:t>
      </w:r>
    </w:p>
    <w:p w14:paraId="79E1C8BA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March 2005</w:t>
      </w:r>
    </w:p>
    <w:p w14:paraId="65DE8154" w14:textId="77777777" w:rsidR="009F7345" w:rsidRDefault="009F7345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</w:p>
    <w:p w14:paraId="241453CD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Secondary</w:t>
      </w:r>
      <w:r>
        <w:rPr>
          <w:rFonts w:ascii="Tahoma" w:hAnsi="Tahoma" w:cs="Tahoma"/>
          <w:sz w:val="20"/>
          <w:szCs w:val="20"/>
          <w:lang w:val="it-IT"/>
        </w:rPr>
        <w:t>: Valedictorian</w:t>
      </w:r>
    </w:p>
    <w:p w14:paraId="3ADFA29C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Tolosa National High School</w:t>
      </w:r>
    </w:p>
    <w:p w14:paraId="306E0AEC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April 2000</w:t>
      </w:r>
    </w:p>
    <w:p w14:paraId="08A5C7D2" w14:textId="77777777" w:rsidR="009F7345" w:rsidRDefault="009F7345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</w:p>
    <w:p w14:paraId="5AEF6CB9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Elementary</w:t>
      </w:r>
      <w:r>
        <w:rPr>
          <w:rFonts w:ascii="Tahoma" w:hAnsi="Tahoma" w:cs="Tahoma"/>
          <w:sz w:val="20"/>
          <w:szCs w:val="20"/>
          <w:lang w:val="it-IT"/>
        </w:rPr>
        <w:t>:1st Honorable Mention</w:t>
      </w:r>
    </w:p>
    <w:p w14:paraId="2E2AE035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Daniel Z. Romualdez Memorial Elementary School</w:t>
      </w:r>
    </w:p>
    <w:p w14:paraId="3DE8136B" w14:textId="77777777" w:rsidR="009F7345" w:rsidRDefault="00924837">
      <w:pPr>
        <w:shd w:val="clear" w:color="auto" w:fill="BFBFBF" w:themeFill="background1" w:themeFillShade="BF"/>
        <w:rPr>
          <w:sz w:val="20"/>
          <w:szCs w:val="20"/>
        </w:rPr>
      </w:pPr>
      <w:r>
        <w:rPr>
          <w:rFonts w:ascii="Tahoma" w:hAnsi="Tahoma" w:cs="Tahoma"/>
          <w:sz w:val="20"/>
          <w:szCs w:val="20"/>
          <w:lang w:val="it-IT"/>
        </w:rPr>
        <w:t>April 1996</w:t>
      </w:r>
      <w:r>
        <w:rPr>
          <w:rFonts w:ascii="Tahoma" w:hAnsi="Tahoma" w:cs="Tahoma"/>
          <w:sz w:val="20"/>
          <w:szCs w:val="20"/>
          <w:lang w:val="it-IT"/>
        </w:rPr>
        <w:br/>
      </w:r>
      <w:r>
        <w:rPr>
          <w:rFonts w:ascii="Tahoma" w:hAnsi="Tahoma" w:cs="Tahoma"/>
          <w:sz w:val="20"/>
          <w:szCs w:val="20"/>
          <w:lang w:val="it-IT"/>
        </w:rPr>
        <w:br/>
      </w:r>
      <w:r>
        <w:rPr>
          <w:b/>
          <w:sz w:val="20"/>
          <w:szCs w:val="20"/>
        </w:rPr>
        <w:t>TRAININGS AND SEMINARS</w:t>
      </w:r>
    </w:p>
    <w:p w14:paraId="0B3DB243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ESSA (Eliminate. Simplify. Standardize. Automate)</w:t>
      </w:r>
    </w:p>
    <w:p w14:paraId="58EC6544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Chevron Holdings, Inc.</w:t>
      </w:r>
    </w:p>
    <w:p w14:paraId="7FF5D2FE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August 2013</w:t>
      </w:r>
    </w:p>
    <w:p w14:paraId="14AC4CB1" w14:textId="77777777" w:rsidR="009F7345" w:rsidRDefault="009F7345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</w:p>
    <w:p w14:paraId="3106E3DD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Entrepreneurship Seminar</w:t>
      </w:r>
    </w:p>
    <w:p w14:paraId="70606CA6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PUP Graduate School Manila   September 2010</w:t>
      </w:r>
    </w:p>
    <w:p w14:paraId="3E351491" w14:textId="77777777" w:rsidR="009F7345" w:rsidRDefault="009F7345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</w:p>
    <w:p w14:paraId="1562C6AF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Verification and Counterfeit Detection</w:t>
      </w:r>
    </w:p>
    <w:p w14:paraId="096CF068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RCBC Makati City – May 2007</w:t>
      </w:r>
    </w:p>
    <w:p w14:paraId="334F8E8A" w14:textId="77777777" w:rsidR="009F7345" w:rsidRDefault="009F7345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</w:p>
    <w:p w14:paraId="0E1C05EC" w14:textId="77777777" w:rsidR="009F7345" w:rsidRDefault="00924837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SKILLS: </w:t>
      </w:r>
      <w:r>
        <w:rPr>
          <w:rFonts w:asciiTheme="majorHAnsi" w:hAnsiTheme="majorHAnsi"/>
          <w:sz w:val="20"/>
          <w:szCs w:val="20"/>
        </w:rPr>
        <w:t xml:space="preserve">SAP, </w:t>
      </w:r>
      <w:proofErr w:type="spellStart"/>
      <w:r>
        <w:rPr>
          <w:rFonts w:asciiTheme="majorHAnsi" w:hAnsiTheme="majorHAnsi"/>
          <w:sz w:val="20"/>
          <w:szCs w:val="20"/>
        </w:rPr>
        <w:t>Ariba</w:t>
      </w:r>
      <w:proofErr w:type="spellEnd"/>
      <w:r>
        <w:rPr>
          <w:rFonts w:asciiTheme="majorHAnsi" w:hAnsiTheme="majorHAnsi"/>
          <w:sz w:val="20"/>
          <w:szCs w:val="20"/>
        </w:rPr>
        <w:t>, SOX, MS Excel</w:t>
      </w:r>
    </w:p>
    <w:p w14:paraId="641BF4A4" w14:textId="77777777" w:rsidR="009F7345" w:rsidRDefault="009F7345">
      <w:pPr>
        <w:shd w:val="clear" w:color="auto" w:fill="BFBFBF" w:themeFill="background1" w:themeFillShade="BF"/>
        <w:rPr>
          <w:rFonts w:asciiTheme="majorHAnsi" w:hAnsiTheme="majorHAnsi"/>
          <w:sz w:val="20"/>
          <w:szCs w:val="20"/>
        </w:rPr>
      </w:pPr>
    </w:p>
    <w:p w14:paraId="1F85237A" w14:textId="77777777" w:rsidR="009F7345" w:rsidRDefault="0092483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>CAREER OBJECTIVE</w:t>
      </w:r>
      <w:r>
        <w:rPr>
          <w:rFonts w:ascii="Tahoma" w:hAnsi="Tahoma" w:cs="Tahoma"/>
          <w:b/>
          <w:sz w:val="22"/>
          <w:szCs w:val="22"/>
        </w:rPr>
        <w:t xml:space="preserve"> ____________________________________</w:t>
      </w:r>
    </w:p>
    <w:p w14:paraId="51AEC860" w14:textId="77777777" w:rsidR="009F7345" w:rsidRDefault="009F7345">
      <w:pPr>
        <w:rPr>
          <w:rFonts w:ascii="Tahoma" w:hAnsi="Tahoma" w:cs="Tahoma"/>
          <w:sz w:val="22"/>
          <w:szCs w:val="22"/>
        </w:rPr>
      </w:pPr>
    </w:p>
    <w:p w14:paraId="3949E889" w14:textId="77777777" w:rsidR="009F7345" w:rsidRDefault="00924837">
      <w:pPr>
        <w:rPr>
          <w:rFonts w:asciiTheme="majorHAnsi" w:hAnsiTheme="majorHAnsi" w:cs="Tahoma"/>
          <w:b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lastRenderedPageBreak/>
        <w:t xml:space="preserve">To contribute and impart diverse experience in accounting and finance, enhance </w:t>
      </w:r>
      <w:r w:rsidR="00F620DA">
        <w:rPr>
          <w:rFonts w:asciiTheme="majorHAnsi" w:hAnsiTheme="majorHAnsi" w:cs="Tahoma"/>
          <w:sz w:val="21"/>
          <w:szCs w:val="21"/>
        </w:rPr>
        <w:t>decision-making</w:t>
      </w:r>
      <w:r>
        <w:rPr>
          <w:rFonts w:asciiTheme="majorHAnsi" w:hAnsiTheme="majorHAnsi" w:cs="Tahoma"/>
          <w:sz w:val="21"/>
          <w:szCs w:val="21"/>
        </w:rPr>
        <w:t xml:space="preserve"> and analytical skills, enrich emotional</w:t>
      </w:r>
      <w:r>
        <w:rPr>
          <w:rFonts w:asciiTheme="majorHAnsi" w:hAnsiTheme="majorHAnsi" w:cs="Tahoma"/>
          <w:b/>
          <w:sz w:val="21"/>
          <w:szCs w:val="21"/>
        </w:rPr>
        <w:t xml:space="preserve"> </w:t>
      </w:r>
      <w:r>
        <w:rPr>
          <w:rFonts w:asciiTheme="majorHAnsi" w:hAnsiTheme="majorHAnsi" w:cs="Tahoma"/>
          <w:sz w:val="21"/>
          <w:szCs w:val="21"/>
        </w:rPr>
        <w:t>intelligence and leadership skills that would support organizational capability and growth opportunities.</w:t>
      </w:r>
    </w:p>
    <w:p w14:paraId="636AAB8E" w14:textId="77777777" w:rsidR="009F7345" w:rsidRDefault="009F7345">
      <w:pPr>
        <w:rPr>
          <w:rFonts w:asciiTheme="majorHAnsi" w:hAnsiTheme="majorHAnsi" w:cs="Tahoma"/>
          <w:sz w:val="21"/>
          <w:szCs w:val="21"/>
          <w:lang w:val="it-IT"/>
        </w:rPr>
      </w:pPr>
    </w:p>
    <w:p w14:paraId="0E4453FC" w14:textId="77777777" w:rsidR="009F7345" w:rsidRDefault="0092483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>SUMMARY OF QUALIFICATION</w:t>
      </w:r>
      <w:r>
        <w:rPr>
          <w:rFonts w:ascii="Tahoma" w:hAnsi="Tahoma" w:cs="Tahoma"/>
          <w:b/>
          <w:sz w:val="22"/>
          <w:szCs w:val="22"/>
        </w:rPr>
        <w:t>_____________________________</w:t>
      </w:r>
    </w:p>
    <w:p w14:paraId="6E56A583" w14:textId="77777777" w:rsidR="009F7345" w:rsidRDefault="009F7345">
      <w:pPr>
        <w:rPr>
          <w:rFonts w:asciiTheme="majorHAnsi" w:hAnsiTheme="majorHAnsi" w:cs="Tahoma"/>
          <w:sz w:val="21"/>
          <w:szCs w:val="21"/>
        </w:rPr>
      </w:pPr>
    </w:p>
    <w:p w14:paraId="0D1890EC" w14:textId="12F24F89" w:rsidR="009F7345" w:rsidRDefault="00924837">
      <w:p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 xml:space="preserve">Eleven years of substantial accounting experience in multinational companies and diverse industries such as bank, oil &amp; energy and healthcare. My key competencies are </w:t>
      </w:r>
      <w:r w:rsidR="002E03DA">
        <w:rPr>
          <w:rFonts w:asciiTheme="majorHAnsi" w:hAnsiTheme="majorHAnsi" w:cs="Tahoma"/>
          <w:sz w:val="21"/>
          <w:szCs w:val="21"/>
        </w:rPr>
        <w:t>Accounts Payable, Process M</w:t>
      </w:r>
      <w:r>
        <w:rPr>
          <w:rFonts w:asciiTheme="majorHAnsi" w:hAnsiTheme="majorHAnsi" w:cs="Tahoma"/>
          <w:sz w:val="21"/>
          <w:szCs w:val="21"/>
        </w:rPr>
        <w:t>igration</w:t>
      </w:r>
      <w:r w:rsidR="002E03DA">
        <w:rPr>
          <w:rFonts w:asciiTheme="majorHAnsi" w:hAnsiTheme="majorHAnsi" w:cs="Tahoma"/>
          <w:sz w:val="21"/>
          <w:szCs w:val="21"/>
        </w:rPr>
        <w:t xml:space="preserve"> project, </w:t>
      </w:r>
      <w:r>
        <w:rPr>
          <w:rFonts w:asciiTheme="majorHAnsi" w:hAnsiTheme="majorHAnsi" w:cs="Tahoma"/>
          <w:sz w:val="21"/>
          <w:szCs w:val="21"/>
        </w:rPr>
        <w:t>Cash Accounting, Accounts Reconciliation, Bank Reconciliation, Intercompany accounting and treasury operation functions.</w:t>
      </w:r>
    </w:p>
    <w:p w14:paraId="027C6ACE" w14:textId="77777777" w:rsidR="009F7345" w:rsidRDefault="009F7345">
      <w:pPr>
        <w:rPr>
          <w:rFonts w:asciiTheme="majorHAnsi" w:hAnsiTheme="majorHAnsi" w:cs="Tahoma"/>
          <w:sz w:val="21"/>
          <w:szCs w:val="21"/>
        </w:rPr>
      </w:pPr>
    </w:p>
    <w:p w14:paraId="7A1A15BB" w14:textId="77777777" w:rsidR="009F7345" w:rsidRDefault="009F7345">
      <w:pPr>
        <w:rPr>
          <w:rFonts w:asciiTheme="majorHAnsi" w:hAnsiTheme="majorHAnsi" w:cs="Tahoma"/>
          <w:sz w:val="21"/>
          <w:szCs w:val="21"/>
        </w:rPr>
      </w:pPr>
    </w:p>
    <w:p w14:paraId="55C0B047" w14:textId="77777777" w:rsidR="009F7345" w:rsidRDefault="00924837">
      <w:pPr>
        <w:shd w:val="clear" w:color="auto" w:fill="BFBFBF" w:themeFill="background1" w:themeFillShade="BF"/>
        <w:rPr>
          <w:rFonts w:ascii="Tahoma" w:hAnsi="Tahoma" w:cs="Tahoma"/>
          <w:b/>
          <w:sz w:val="22"/>
          <w:szCs w:val="22"/>
          <w:shd w:val="clear" w:color="auto" w:fill="BFBFBF" w:themeFill="background1" w:themeFillShade="BF"/>
        </w:rPr>
      </w:pPr>
      <w:r>
        <w:rPr>
          <w:rFonts w:ascii="Tahoma" w:hAnsi="Tahoma" w:cs="Tahoma"/>
          <w:b/>
          <w:sz w:val="22"/>
          <w:szCs w:val="22"/>
        </w:rPr>
        <w:t xml:space="preserve">PROFESSIONAL </w:t>
      </w:r>
      <w:r>
        <w:rPr>
          <w:rFonts w:ascii="Tahoma" w:hAnsi="Tahoma" w:cs="Tahoma"/>
          <w:b/>
          <w:sz w:val="22"/>
          <w:szCs w:val="22"/>
          <w:shd w:val="clear" w:color="auto" w:fill="BFBFBF" w:themeFill="background1" w:themeFillShade="BF"/>
        </w:rPr>
        <w:t>EXPERIENCE</w:t>
      </w:r>
    </w:p>
    <w:p w14:paraId="5C37829C" w14:textId="77777777" w:rsidR="009F7345" w:rsidRDefault="009F7345">
      <w:pPr>
        <w:rPr>
          <w:rFonts w:ascii="Tahoma" w:hAnsi="Tahoma" w:cs="Tahoma"/>
          <w:b/>
          <w:sz w:val="22"/>
          <w:szCs w:val="22"/>
          <w:shd w:val="clear" w:color="auto" w:fill="BFBFBF" w:themeFill="background1" w:themeFillShade="BF"/>
        </w:rPr>
      </w:pPr>
    </w:p>
    <w:p w14:paraId="589A8D50" w14:textId="36B89B8A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Position:</w:t>
      </w:r>
      <w:r>
        <w:rPr>
          <w:rFonts w:asciiTheme="majorHAnsi" w:hAnsiTheme="majorHAnsi"/>
          <w:b/>
          <w:sz w:val="21"/>
          <w:szCs w:val="21"/>
        </w:rPr>
        <w:tab/>
      </w:r>
      <w:r w:rsidR="005C7CAE">
        <w:rPr>
          <w:rFonts w:asciiTheme="majorHAnsi" w:hAnsiTheme="majorHAnsi"/>
          <w:b/>
          <w:sz w:val="21"/>
          <w:szCs w:val="21"/>
        </w:rPr>
        <w:t>Accounts Payable</w:t>
      </w:r>
      <w:r w:rsidR="004842BE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Supervisor</w:t>
      </w:r>
    </w:p>
    <w:p w14:paraId="3C2C0C75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Company: </w:t>
      </w:r>
      <w:r>
        <w:rPr>
          <w:rFonts w:asciiTheme="majorHAnsi" w:hAnsiTheme="majorHAnsi"/>
          <w:b/>
          <w:sz w:val="21"/>
          <w:szCs w:val="21"/>
        </w:rPr>
        <w:tab/>
        <w:t>Fresenius Medical Care</w:t>
      </w:r>
    </w:p>
    <w:p w14:paraId="00E6A88B" w14:textId="7044C533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Period: </w:t>
      </w:r>
      <w:r>
        <w:rPr>
          <w:rFonts w:asciiTheme="majorHAnsi" w:hAnsiTheme="majorHAnsi"/>
          <w:b/>
          <w:sz w:val="21"/>
          <w:szCs w:val="21"/>
        </w:rPr>
        <w:tab/>
        <w:t xml:space="preserve">July 2016 to </w:t>
      </w:r>
      <w:r w:rsidR="000C088B">
        <w:rPr>
          <w:rFonts w:asciiTheme="majorHAnsi" w:hAnsiTheme="majorHAnsi"/>
          <w:b/>
          <w:sz w:val="21"/>
          <w:szCs w:val="21"/>
        </w:rPr>
        <w:t>July</w:t>
      </w:r>
      <w:r>
        <w:rPr>
          <w:rFonts w:asciiTheme="majorHAnsi" w:hAnsiTheme="majorHAnsi"/>
          <w:b/>
          <w:sz w:val="21"/>
          <w:szCs w:val="21"/>
        </w:rPr>
        <w:t xml:space="preserve"> 2017</w:t>
      </w:r>
    </w:p>
    <w:p w14:paraId="2BDC8D47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472499C9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622C93D0" w14:textId="5FF187BC" w:rsidR="009F7345" w:rsidRDefault="00924837">
      <w:pPr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Successful shadowing and migration of Accounts Payable </w:t>
      </w:r>
      <w:r w:rsidR="00F620DA">
        <w:rPr>
          <w:rFonts w:asciiTheme="majorHAnsi" w:hAnsiTheme="majorHAnsi"/>
          <w:sz w:val="21"/>
          <w:szCs w:val="21"/>
        </w:rPr>
        <w:t>end-to-end</w:t>
      </w:r>
      <w:r>
        <w:rPr>
          <w:rFonts w:asciiTheme="majorHAnsi" w:hAnsiTheme="majorHAnsi"/>
          <w:sz w:val="21"/>
          <w:szCs w:val="21"/>
        </w:rPr>
        <w:t xml:space="preserve"> processes (invoice processing, travel and expense claims, vendor master and payments) to the shared service center in Manila.</w:t>
      </w:r>
    </w:p>
    <w:p w14:paraId="632F8859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Established a back-up system in the team to strengthen organizational capability.</w:t>
      </w:r>
    </w:p>
    <w:p w14:paraId="318EACDA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Spearheaded the </w:t>
      </w:r>
      <w:proofErr w:type="spellStart"/>
      <w:r>
        <w:rPr>
          <w:rFonts w:asciiTheme="majorHAnsi" w:hAnsiTheme="majorHAnsi"/>
          <w:sz w:val="21"/>
          <w:szCs w:val="21"/>
        </w:rPr>
        <w:t>Psinova</w:t>
      </w:r>
      <w:proofErr w:type="spellEnd"/>
      <w:r>
        <w:rPr>
          <w:rFonts w:asciiTheme="majorHAnsi" w:hAnsiTheme="majorHAnsi"/>
          <w:sz w:val="21"/>
          <w:szCs w:val="21"/>
        </w:rPr>
        <w:t xml:space="preserve"> (an SAP integrated system) Report project implementation in coordination with IT department for an easy reporting generation of invoice processors.</w:t>
      </w:r>
    </w:p>
    <w:p w14:paraId="4989FDF6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Spearheaded the </w:t>
      </w:r>
      <w:proofErr w:type="spellStart"/>
      <w:r>
        <w:rPr>
          <w:rFonts w:asciiTheme="majorHAnsi" w:hAnsiTheme="majorHAnsi"/>
          <w:sz w:val="21"/>
          <w:szCs w:val="21"/>
        </w:rPr>
        <w:t>Psinova</w:t>
      </w:r>
      <w:proofErr w:type="spellEnd"/>
      <w:r>
        <w:rPr>
          <w:rFonts w:asciiTheme="majorHAnsi" w:hAnsiTheme="majorHAnsi"/>
          <w:sz w:val="21"/>
          <w:szCs w:val="21"/>
        </w:rPr>
        <w:t xml:space="preserve"> enhancement project in coordination with IT department. Identifying the needs of Finance and incorporate in the system and getting update by conducting weekly conference call.</w:t>
      </w:r>
    </w:p>
    <w:p w14:paraId="4DE0AD3E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Provided coaching and feedback to teammates and evaluate their performances by conducting a real talk session. </w:t>
      </w:r>
    </w:p>
    <w:p w14:paraId="3F630C6C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SAP Profiling project - analysis of the P2P SAP access and providing recommendation on whether to retain or remove their access in adherence to the policy on Segregation of Duties.</w:t>
      </w:r>
    </w:p>
    <w:p w14:paraId="55E07076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Resolution of system and process issues by coordinating and involving the right people.</w:t>
      </w:r>
    </w:p>
    <w:p w14:paraId="1E4747EB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Created a template for the intercompany process that reduced processing time for the process owner.</w:t>
      </w:r>
    </w:p>
    <w:p w14:paraId="2F9ECF2D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Involved in the SAP re-implementation project for Philippine business unit and </w:t>
      </w:r>
      <w:r w:rsidR="00F620DA">
        <w:rPr>
          <w:rFonts w:asciiTheme="majorHAnsi" w:hAnsiTheme="majorHAnsi"/>
          <w:sz w:val="21"/>
          <w:szCs w:val="21"/>
        </w:rPr>
        <w:t>cleanup</w:t>
      </w:r>
      <w:r>
        <w:rPr>
          <w:rFonts w:asciiTheme="majorHAnsi" w:hAnsiTheme="majorHAnsi"/>
          <w:sz w:val="21"/>
          <w:szCs w:val="21"/>
        </w:rPr>
        <w:t xml:space="preserve"> of GRIR accounts and other suspense accounts. Follow through with the IT department on the remaining issues and conducting meetings with the local counterpart for updates and decision-making. </w:t>
      </w:r>
    </w:p>
    <w:p w14:paraId="7A7EABCA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Review of payment proposal before uploading to the bank system.</w:t>
      </w:r>
    </w:p>
    <w:p w14:paraId="6891584B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Supervisor approval of Non-PO invoices in </w:t>
      </w:r>
      <w:proofErr w:type="spellStart"/>
      <w:r>
        <w:rPr>
          <w:rFonts w:asciiTheme="majorHAnsi" w:hAnsiTheme="majorHAnsi"/>
          <w:sz w:val="21"/>
          <w:szCs w:val="21"/>
        </w:rPr>
        <w:t>Psinova</w:t>
      </w:r>
      <w:proofErr w:type="spellEnd"/>
      <w:r>
        <w:rPr>
          <w:rFonts w:asciiTheme="majorHAnsi" w:hAnsiTheme="majorHAnsi"/>
          <w:sz w:val="21"/>
          <w:szCs w:val="21"/>
        </w:rPr>
        <w:t xml:space="preserve"> (SAP). </w:t>
      </w:r>
    </w:p>
    <w:p w14:paraId="2AF53573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Supervisor approval of vendor creation in SAP.</w:t>
      </w:r>
    </w:p>
    <w:p w14:paraId="1C104E74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Supervisor approval of the ticketing system K2 for payment, invoice processing, vendor creation requests.</w:t>
      </w:r>
    </w:p>
    <w:p w14:paraId="389E6B2B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Generate and prepare KPI report.</w:t>
      </w:r>
    </w:p>
    <w:p w14:paraId="30821ED9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Organize payments to vendor and employee accounts.</w:t>
      </w:r>
    </w:p>
    <w:p w14:paraId="0AE63697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To process invoice as support to teammates whenever necessary.</w:t>
      </w:r>
    </w:p>
    <w:p w14:paraId="3CC8E478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Knowledge on India withholding tax policy to be aligned with invoice processing applicability.</w:t>
      </w:r>
    </w:p>
    <w:p w14:paraId="01F1B07B" w14:textId="77777777" w:rsidR="009F7345" w:rsidRDefault="00924837">
      <w:pPr>
        <w:pStyle w:val="ListParagraph1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Promote rest and recreation activities to foster teamwork and camaraderie within P2P department.</w:t>
      </w:r>
    </w:p>
    <w:p w14:paraId="300C0CD7" w14:textId="77777777" w:rsidR="009F7345" w:rsidRDefault="00924837">
      <w:pPr>
        <w:pStyle w:val="ListParagraph1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Other administrative and supervisory roles designated by the Manager.</w:t>
      </w:r>
    </w:p>
    <w:p w14:paraId="595569C0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3CC6CCD5" w14:textId="77777777" w:rsidR="009F7345" w:rsidRDefault="009F7345">
      <w:pPr>
        <w:rPr>
          <w:rFonts w:asciiTheme="majorHAnsi" w:hAnsiTheme="majorHAnsi"/>
          <w:sz w:val="21"/>
          <w:szCs w:val="21"/>
        </w:rPr>
        <w:sectPr w:rsidR="009F7345">
          <w:type w:val="continuous"/>
          <w:pgSz w:w="11906" w:h="16838"/>
          <w:pgMar w:top="567" w:right="567" w:bottom="567" w:left="567" w:header="567" w:footer="567" w:gutter="0"/>
          <w:cols w:num="2" w:space="720" w:equalWidth="0">
            <w:col w:w="2835" w:space="568"/>
            <w:col w:w="7368"/>
          </w:cols>
          <w:docGrid w:linePitch="360"/>
        </w:sectPr>
      </w:pPr>
    </w:p>
    <w:p w14:paraId="31ACD84D" w14:textId="517B8460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Position:</w:t>
      </w:r>
      <w:r>
        <w:rPr>
          <w:rFonts w:asciiTheme="majorHAnsi" w:hAnsiTheme="majorHAnsi"/>
          <w:b/>
          <w:sz w:val="21"/>
          <w:szCs w:val="21"/>
        </w:rPr>
        <w:tab/>
      </w:r>
      <w:r w:rsidR="005C7CAE">
        <w:rPr>
          <w:rFonts w:asciiTheme="majorHAnsi" w:hAnsiTheme="majorHAnsi"/>
          <w:b/>
          <w:sz w:val="21"/>
          <w:szCs w:val="21"/>
        </w:rPr>
        <w:t>Accountant (</w:t>
      </w:r>
      <w:r>
        <w:rPr>
          <w:rFonts w:asciiTheme="majorHAnsi" w:hAnsiTheme="majorHAnsi"/>
          <w:b/>
          <w:sz w:val="21"/>
          <w:szCs w:val="21"/>
        </w:rPr>
        <w:t>Payments Analyst</w:t>
      </w:r>
      <w:r w:rsidR="005C7CAE">
        <w:rPr>
          <w:rFonts w:asciiTheme="majorHAnsi" w:hAnsiTheme="majorHAnsi"/>
          <w:b/>
          <w:sz w:val="21"/>
          <w:szCs w:val="21"/>
        </w:rPr>
        <w:t>)</w:t>
      </w:r>
    </w:p>
    <w:p w14:paraId="4EF2E268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 xml:space="preserve">Company: </w:t>
      </w:r>
      <w:r>
        <w:rPr>
          <w:rFonts w:asciiTheme="majorHAnsi" w:hAnsiTheme="majorHAnsi"/>
          <w:b/>
          <w:sz w:val="21"/>
          <w:szCs w:val="21"/>
        </w:rPr>
        <w:tab/>
        <w:t>Chevron Holdings, Inc.</w:t>
      </w:r>
    </w:p>
    <w:p w14:paraId="56E480DA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Period: </w:t>
      </w:r>
      <w:r>
        <w:rPr>
          <w:rFonts w:asciiTheme="majorHAnsi" w:hAnsiTheme="majorHAnsi"/>
          <w:b/>
          <w:sz w:val="21"/>
          <w:szCs w:val="21"/>
        </w:rPr>
        <w:tab/>
        <w:t>May 2015 to July 2016</w:t>
      </w:r>
    </w:p>
    <w:p w14:paraId="17301991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2B519882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74547BFB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Timely and accurate handling of SAP automated payment runs.</w:t>
      </w:r>
    </w:p>
    <w:p w14:paraId="68253455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Monitor the daily payment program/process for SAP (PC1&amp; PC3) clients.</w:t>
      </w:r>
    </w:p>
    <w:p w14:paraId="76558D4C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Timely coordination or escalation of payment related issues (i.e., system slow response or any payment run errors) to SAP Support, Treasury and/or in-country finance to ensure resolution of issues prior to payment file transmission to bank.  </w:t>
      </w:r>
    </w:p>
    <w:p w14:paraId="4B1A9671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Timely resolution of payment rejection to prevent penalties.</w:t>
      </w:r>
    </w:p>
    <w:p w14:paraId="560A5460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Timely and accurate performance of day-end reconciliation for automatic payment runs.</w:t>
      </w:r>
    </w:p>
    <w:p w14:paraId="6553D338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Accurate and on time submission of funding requirements to Treasury.</w:t>
      </w:r>
    </w:p>
    <w:p w14:paraId="5BDAFE35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Timely and accurate review of the 1MM and above duplicate payment review prior to payment run</w:t>
      </w:r>
    </w:p>
    <w:p w14:paraId="7B57228C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Timely and accurate handling of all “ready-to-pay” manual payment requests before the agreed payment due date with the vendor except those transactions with valid urgent payment requirements.</w:t>
      </w:r>
    </w:p>
    <w:p w14:paraId="58D55942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Monthly accounts reconciliation for vendor accounts is handled timely.</w:t>
      </w:r>
    </w:p>
    <w:p w14:paraId="0BCE1152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Increasing responsibility by handling payment processes for UK entities.</w:t>
      </w:r>
    </w:p>
    <w:p w14:paraId="7B7B302E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Overall </w:t>
      </w:r>
      <w:r w:rsidR="00F620DA">
        <w:rPr>
          <w:rFonts w:asciiTheme="majorHAnsi" w:hAnsiTheme="majorHAnsi"/>
          <w:sz w:val="21"/>
          <w:szCs w:val="21"/>
        </w:rPr>
        <w:t>back up</w:t>
      </w:r>
      <w:r>
        <w:rPr>
          <w:rFonts w:asciiTheme="majorHAnsi" w:hAnsiTheme="majorHAnsi"/>
          <w:sz w:val="21"/>
          <w:szCs w:val="21"/>
        </w:rPr>
        <w:t xml:space="preserve"> (support) of the Payments team for UK, North America and Asia Pacific payment processes. </w:t>
      </w:r>
    </w:p>
    <w:p w14:paraId="3FF45A29" w14:textId="77777777" w:rsidR="009F7345" w:rsidRDefault="00924837">
      <w:pPr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User Acceptance Testing (UAT) for Asia Pacific payment process enhancement.</w:t>
      </w:r>
    </w:p>
    <w:p w14:paraId="1C339DB4" w14:textId="77777777" w:rsidR="009F7345" w:rsidRDefault="009F7345">
      <w:pPr>
        <w:rPr>
          <w:rFonts w:asciiTheme="majorHAnsi" w:hAnsiTheme="majorHAnsi"/>
          <w:sz w:val="21"/>
          <w:szCs w:val="21"/>
        </w:rPr>
      </w:pPr>
    </w:p>
    <w:p w14:paraId="0335CED2" w14:textId="77777777" w:rsidR="009F7345" w:rsidRDefault="009F7345">
      <w:pPr>
        <w:rPr>
          <w:rFonts w:asciiTheme="majorHAnsi" w:hAnsiTheme="majorHAnsi"/>
          <w:sz w:val="21"/>
          <w:szCs w:val="21"/>
        </w:rPr>
      </w:pPr>
    </w:p>
    <w:p w14:paraId="424C0C41" w14:textId="77777777" w:rsidR="009F7345" w:rsidRDefault="009F7345">
      <w:pPr>
        <w:rPr>
          <w:rFonts w:asciiTheme="majorHAnsi" w:hAnsiTheme="majorHAnsi"/>
          <w:sz w:val="21"/>
          <w:szCs w:val="21"/>
        </w:rPr>
      </w:pPr>
    </w:p>
    <w:p w14:paraId="7A7EFBC5" w14:textId="76BF2F3F" w:rsidR="009F7345" w:rsidRDefault="00D366F9">
      <w:pPr>
        <w:ind w:left="1440" w:hanging="144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Position:  </w:t>
      </w:r>
      <w:r>
        <w:rPr>
          <w:rFonts w:asciiTheme="majorHAnsi" w:hAnsiTheme="majorHAnsi"/>
          <w:b/>
          <w:sz w:val="21"/>
          <w:szCs w:val="21"/>
        </w:rPr>
        <w:tab/>
      </w:r>
      <w:r w:rsidR="005C7CAE">
        <w:rPr>
          <w:rFonts w:asciiTheme="majorHAnsi" w:hAnsiTheme="majorHAnsi"/>
          <w:b/>
          <w:sz w:val="21"/>
          <w:szCs w:val="21"/>
        </w:rPr>
        <w:t>Accountant (</w:t>
      </w:r>
      <w:r>
        <w:rPr>
          <w:rFonts w:asciiTheme="majorHAnsi" w:hAnsiTheme="majorHAnsi"/>
          <w:b/>
          <w:sz w:val="21"/>
          <w:szCs w:val="21"/>
        </w:rPr>
        <w:t xml:space="preserve">Process Migration Project &amp; </w:t>
      </w:r>
      <w:r w:rsidR="005C7CAE">
        <w:rPr>
          <w:rFonts w:asciiTheme="majorHAnsi" w:hAnsiTheme="majorHAnsi"/>
          <w:b/>
          <w:sz w:val="21"/>
          <w:szCs w:val="21"/>
        </w:rPr>
        <w:t>Invoice Processing)</w:t>
      </w:r>
    </w:p>
    <w:p w14:paraId="748DA375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Company:</w:t>
      </w:r>
      <w:r>
        <w:rPr>
          <w:rFonts w:asciiTheme="majorHAnsi" w:hAnsiTheme="majorHAnsi"/>
          <w:b/>
          <w:sz w:val="21"/>
          <w:szCs w:val="21"/>
        </w:rPr>
        <w:tab/>
        <w:t>Chevron Holdings, Inc.</w:t>
      </w:r>
    </w:p>
    <w:p w14:paraId="78C4B91C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Period: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  <w:t>June 2014 to May 2015</w:t>
      </w:r>
    </w:p>
    <w:p w14:paraId="2DFE5FE2" w14:textId="77777777" w:rsidR="009F7345" w:rsidRDefault="009F7345">
      <w:pPr>
        <w:jc w:val="both"/>
        <w:rPr>
          <w:rFonts w:asciiTheme="majorHAnsi" w:hAnsiTheme="majorHAnsi"/>
          <w:sz w:val="21"/>
          <w:szCs w:val="21"/>
        </w:rPr>
      </w:pPr>
    </w:p>
    <w:p w14:paraId="12B12C8F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32071A0E" w14:textId="194E31E9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Responsible for shadowing and migration of Accounts Payable processes (invoice processing function) to shared service center.</w:t>
      </w:r>
    </w:p>
    <w:p w14:paraId="557F5617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Conducted training and knowledge sharing session with new colleagues on the recently migrated process.</w:t>
      </w:r>
    </w:p>
    <w:p w14:paraId="11168361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As subject matter expert, consistently provides assistance and supervision to new colleagues during soft go-live and go-live.</w:t>
      </w:r>
    </w:p>
    <w:p w14:paraId="27BADD9B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Performs basic invoice compliance check.</w:t>
      </w:r>
    </w:p>
    <w:p w14:paraId="46D45415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Processes invoice receipt entry and credit memo entry in SAP.</w:t>
      </w:r>
    </w:p>
    <w:p w14:paraId="5AAA7C20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Submits invoices to ARIBA e-procurement site.</w:t>
      </w:r>
    </w:p>
    <w:p w14:paraId="5968B0F0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Monitors status of invoices to ensure payment on time.</w:t>
      </w:r>
    </w:p>
    <w:p w14:paraId="2058D4CF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Handling of the group mailbox and provides resolution to various issues escalated from the business unit and vendors.</w:t>
      </w:r>
    </w:p>
    <w:p w14:paraId="0AE8D914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Performs various month-end activities relevant for both financial reporting (cost allocation).</w:t>
      </w:r>
    </w:p>
    <w:p w14:paraId="21DC7982" w14:textId="77777777" w:rsidR="009F7345" w:rsidRDefault="009F7345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  <w:sectPr w:rsidR="009F7345">
          <w:type w:val="continuous"/>
          <w:pgSz w:w="11906" w:h="16838"/>
          <w:pgMar w:top="567" w:right="567" w:bottom="567" w:left="567" w:header="567" w:footer="567" w:gutter="0"/>
          <w:cols w:space="568"/>
          <w:docGrid w:linePitch="360"/>
        </w:sectPr>
      </w:pPr>
    </w:p>
    <w:p w14:paraId="222E2E45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Timely and accurate handling of Canada Withholding Tax remittance and reporting to Canada Revenue Agency.</w:t>
      </w:r>
    </w:p>
    <w:p w14:paraId="60B1CFD3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Accounts reconciliation for tax payable is handled timely.</w:t>
      </w:r>
    </w:p>
    <w:p w14:paraId="207ECBCA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Manual clearing of manually initiated payments.</w:t>
      </w:r>
    </w:p>
    <w:p w14:paraId="3B5CBAB5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Month-end closing activities.</w:t>
      </w:r>
    </w:p>
    <w:p w14:paraId="6F737FAD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3CF60C74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  <w:sectPr w:rsidR="009F7345">
          <w:type w:val="continuous"/>
          <w:pgSz w:w="11906" w:h="16838"/>
          <w:pgMar w:top="567" w:right="567" w:bottom="567" w:left="567" w:header="567" w:footer="567" w:gutter="0"/>
          <w:cols w:space="568"/>
          <w:docGrid w:linePitch="360"/>
        </w:sectPr>
      </w:pPr>
    </w:p>
    <w:p w14:paraId="46489AAD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6A62C533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6A341402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6AF092CD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  <w:sectPr w:rsidR="009F7345">
          <w:type w:val="continuous"/>
          <w:pgSz w:w="11906" w:h="16838"/>
          <w:pgMar w:top="567" w:right="567" w:bottom="567" w:left="567" w:header="567" w:footer="567" w:gutter="0"/>
          <w:cols w:num="2" w:space="720" w:equalWidth="0">
            <w:col w:w="2835" w:space="568"/>
            <w:col w:w="7368"/>
          </w:cols>
          <w:docGrid w:linePitch="360"/>
        </w:sectPr>
      </w:pPr>
    </w:p>
    <w:p w14:paraId="2A3CA8E7" w14:textId="4DF3B2E6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Position:</w:t>
      </w:r>
      <w:r>
        <w:rPr>
          <w:rFonts w:asciiTheme="majorHAnsi" w:hAnsiTheme="majorHAnsi"/>
          <w:b/>
          <w:sz w:val="21"/>
          <w:szCs w:val="21"/>
        </w:rPr>
        <w:tab/>
        <w:t>Accountant</w:t>
      </w:r>
      <w:r w:rsidR="000C088B">
        <w:rPr>
          <w:rFonts w:asciiTheme="majorHAnsi" w:hAnsiTheme="majorHAnsi"/>
          <w:b/>
          <w:sz w:val="21"/>
          <w:szCs w:val="21"/>
        </w:rPr>
        <w:t xml:space="preserve"> (Intercompany, </w:t>
      </w:r>
      <w:r w:rsidR="005C7CAE">
        <w:rPr>
          <w:rFonts w:asciiTheme="majorHAnsi" w:hAnsiTheme="majorHAnsi"/>
          <w:b/>
          <w:sz w:val="21"/>
          <w:szCs w:val="21"/>
        </w:rPr>
        <w:t>Cash</w:t>
      </w:r>
      <w:r w:rsidR="000C088B">
        <w:rPr>
          <w:rFonts w:asciiTheme="majorHAnsi" w:hAnsiTheme="majorHAnsi"/>
          <w:b/>
          <w:sz w:val="21"/>
          <w:szCs w:val="21"/>
        </w:rPr>
        <w:t xml:space="preserve"> Application</w:t>
      </w:r>
      <w:r w:rsidR="005C7CAE">
        <w:rPr>
          <w:rFonts w:asciiTheme="majorHAnsi" w:hAnsiTheme="majorHAnsi"/>
          <w:b/>
          <w:sz w:val="21"/>
          <w:szCs w:val="21"/>
        </w:rPr>
        <w:t xml:space="preserve"> &amp; Bank</w:t>
      </w:r>
      <w:r w:rsidR="000C088B">
        <w:rPr>
          <w:rFonts w:asciiTheme="majorHAnsi" w:hAnsiTheme="majorHAnsi"/>
          <w:b/>
          <w:sz w:val="21"/>
          <w:szCs w:val="21"/>
        </w:rPr>
        <w:t xml:space="preserve"> Reconciliation</w:t>
      </w:r>
      <w:r w:rsidR="005C7CAE">
        <w:rPr>
          <w:rFonts w:asciiTheme="majorHAnsi" w:hAnsiTheme="majorHAnsi"/>
          <w:b/>
          <w:sz w:val="21"/>
          <w:szCs w:val="21"/>
        </w:rPr>
        <w:t>)</w:t>
      </w:r>
    </w:p>
    <w:p w14:paraId="74286514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Company: </w:t>
      </w:r>
      <w:r>
        <w:rPr>
          <w:rFonts w:asciiTheme="majorHAnsi" w:hAnsiTheme="majorHAnsi"/>
          <w:b/>
          <w:sz w:val="21"/>
          <w:szCs w:val="21"/>
        </w:rPr>
        <w:tab/>
        <w:t>Chevron Holdings, Inc.</w:t>
      </w:r>
    </w:p>
    <w:p w14:paraId="4CBAB530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Period: </w:t>
      </w:r>
      <w:r>
        <w:rPr>
          <w:rFonts w:asciiTheme="majorHAnsi" w:hAnsiTheme="majorHAnsi"/>
          <w:b/>
          <w:sz w:val="21"/>
          <w:szCs w:val="21"/>
        </w:rPr>
        <w:tab/>
        <w:t>March 2013 to May 2014</w:t>
      </w:r>
    </w:p>
    <w:p w14:paraId="31C5D545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0D9381F3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6EECFE7F" w14:textId="02C4C368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Processes the cash call SAP entrie</w:t>
      </w:r>
      <w:r w:rsidR="00205BF4">
        <w:rPr>
          <w:rFonts w:asciiTheme="majorHAnsi" w:hAnsiTheme="majorHAnsi"/>
          <w:sz w:val="21"/>
          <w:szCs w:val="21"/>
        </w:rPr>
        <w:t>s for Non-Operated Joint Venture</w:t>
      </w:r>
      <w:r>
        <w:rPr>
          <w:rFonts w:asciiTheme="majorHAnsi" w:hAnsiTheme="majorHAnsi"/>
          <w:sz w:val="21"/>
          <w:szCs w:val="21"/>
        </w:rPr>
        <w:t xml:space="preserve"> and coordinates for payment.</w:t>
      </w:r>
      <w:r>
        <w:rPr>
          <w:rFonts w:asciiTheme="majorHAnsi" w:hAnsiTheme="majorHAnsi"/>
          <w:b/>
          <w:sz w:val="21"/>
          <w:szCs w:val="21"/>
        </w:rPr>
        <w:t xml:space="preserve"> </w:t>
      </w:r>
    </w:p>
    <w:p w14:paraId="14EC4952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Handles SAP booking of incoming intercompany transmittal/invoices and prepares the outgoing intercompany invoices.</w:t>
      </w:r>
    </w:p>
    <w:p w14:paraId="47C599F1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Prepares the intercompany balances for cash settlement and/or for realignment entries.</w:t>
      </w:r>
    </w:p>
    <w:p w14:paraId="02AF9383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Performs booking of cash transactions (inflows and outflows). </w:t>
      </w:r>
    </w:p>
    <w:p w14:paraId="24BABDB7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Accurate handling of bank reconciliation.</w:t>
      </w:r>
    </w:p>
    <w:p w14:paraId="2B0CE702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Handling of accounts reconciliation for intercompany accounts and suspense accounts.</w:t>
      </w:r>
    </w:p>
    <w:p w14:paraId="2906F3D2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Prepares foreign currency transactions to be traded by Treasury, perform booking of liability and organize necessary requirements for payments.</w:t>
      </w:r>
    </w:p>
    <w:p w14:paraId="0AC48CB2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Performs month-end close activities ensuring all intercompany and cash transactions are posted.</w:t>
      </w:r>
    </w:p>
    <w:p w14:paraId="31562E21" w14:textId="31C5C461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Position: </w:t>
      </w:r>
      <w:r>
        <w:rPr>
          <w:rFonts w:asciiTheme="majorHAnsi" w:hAnsiTheme="majorHAnsi"/>
          <w:b/>
          <w:sz w:val="21"/>
          <w:szCs w:val="21"/>
        </w:rPr>
        <w:tab/>
      </w:r>
      <w:r w:rsidR="00AC0CDC">
        <w:rPr>
          <w:rFonts w:asciiTheme="majorHAnsi" w:hAnsiTheme="majorHAnsi"/>
          <w:b/>
          <w:sz w:val="21"/>
          <w:szCs w:val="21"/>
        </w:rPr>
        <w:t>Accountant (</w:t>
      </w:r>
      <w:r>
        <w:rPr>
          <w:rFonts w:asciiTheme="majorHAnsi" w:hAnsiTheme="majorHAnsi"/>
          <w:b/>
          <w:sz w:val="21"/>
          <w:szCs w:val="21"/>
        </w:rPr>
        <w:t>Invoice Processing Analyst</w:t>
      </w:r>
      <w:r w:rsidR="00AC0CDC">
        <w:rPr>
          <w:rFonts w:asciiTheme="majorHAnsi" w:hAnsiTheme="majorHAnsi"/>
          <w:b/>
          <w:sz w:val="21"/>
          <w:szCs w:val="21"/>
        </w:rPr>
        <w:t>)</w:t>
      </w:r>
    </w:p>
    <w:p w14:paraId="52347AEF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Company:</w:t>
      </w:r>
      <w:r>
        <w:rPr>
          <w:rFonts w:asciiTheme="majorHAnsi" w:hAnsiTheme="majorHAnsi"/>
          <w:b/>
          <w:sz w:val="21"/>
          <w:szCs w:val="21"/>
        </w:rPr>
        <w:tab/>
        <w:t>Chevron Holdings, Inc.</w:t>
      </w:r>
    </w:p>
    <w:p w14:paraId="425CFF96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Period: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  <w:t>February 2011 to February 2013</w:t>
      </w:r>
    </w:p>
    <w:p w14:paraId="04C5F264" w14:textId="77777777" w:rsidR="009F7345" w:rsidRDefault="009F7345">
      <w:pPr>
        <w:jc w:val="both"/>
        <w:rPr>
          <w:rFonts w:asciiTheme="majorHAnsi" w:hAnsiTheme="majorHAnsi"/>
          <w:sz w:val="21"/>
          <w:szCs w:val="21"/>
        </w:rPr>
      </w:pPr>
    </w:p>
    <w:p w14:paraId="38F09216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002132D5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Deals with various contact persons (Requisition Specialists, buying team, etc.) of Chevron Upstream Europe business unit and third party vendors.</w:t>
      </w:r>
    </w:p>
    <w:p w14:paraId="14A7CAE1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Performs basic compliance checks on invoices (UK, Denmark and Norway).</w:t>
      </w:r>
    </w:p>
    <w:p w14:paraId="041EE7BE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Processes invoice receipt entry and credit memo entry in SAP via ARIBA e-procurement site</w:t>
      </w:r>
    </w:p>
    <w:p w14:paraId="30AD293D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Monitors status of invoices to ensure payment on time.</w:t>
      </w:r>
    </w:p>
    <w:p w14:paraId="7E13E48D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Resolves various issues escalated from the business unit and vendors.</w:t>
      </w:r>
    </w:p>
    <w:p w14:paraId="5C33EE01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Handles remit-to vendor account creation, revision and extension (Pay-To Account)</w:t>
      </w:r>
    </w:p>
    <w:p w14:paraId="4F3E9512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Reconciliation of revaluation and discount related accounts.</w:t>
      </w:r>
    </w:p>
    <w:p w14:paraId="2EE9C548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Handles posting and clearing of transactions of UK employee’s procurement card.</w:t>
      </w:r>
    </w:p>
    <w:p w14:paraId="59422AA7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Manual clearing of manually initiated payments.</w:t>
      </w:r>
    </w:p>
    <w:p w14:paraId="5A6B3E27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5F3C572D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28E9409A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176012F6" w14:textId="0BFE946F" w:rsidR="009F7345" w:rsidRDefault="00E55CCF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Position:</w:t>
      </w:r>
      <w:r>
        <w:rPr>
          <w:rFonts w:asciiTheme="majorHAnsi" w:hAnsiTheme="majorHAnsi"/>
          <w:b/>
          <w:sz w:val="21"/>
          <w:szCs w:val="21"/>
        </w:rPr>
        <w:tab/>
      </w:r>
      <w:r w:rsidR="00924837">
        <w:rPr>
          <w:rFonts w:asciiTheme="majorHAnsi" w:hAnsiTheme="majorHAnsi"/>
          <w:b/>
          <w:sz w:val="21"/>
          <w:szCs w:val="21"/>
        </w:rPr>
        <w:t>Accountant</w:t>
      </w:r>
      <w:r w:rsidR="00AC0CDC">
        <w:rPr>
          <w:rFonts w:asciiTheme="majorHAnsi" w:hAnsiTheme="majorHAnsi"/>
          <w:b/>
          <w:sz w:val="21"/>
          <w:szCs w:val="21"/>
        </w:rPr>
        <w:t xml:space="preserve"> (Cash Application &amp; Bank Reconciliation)</w:t>
      </w:r>
    </w:p>
    <w:p w14:paraId="5BC437FD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Company:</w:t>
      </w:r>
      <w:r>
        <w:rPr>
          <w:rFonts w:asciiTheme="majorHAnsi" w:hAnsiTheme="majorHAnsi"/>
          <w:b/>
          <w:sz w:val="21"/>
          <w:szCs w:val="21"/>
        </w:rPr>
        <w:tab/>
        <w:t>Chevron Holdings, Inc.</w:t>
      </w:r>
    </w:p>
    <w:p w14:paraId="11A4CFD6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Period: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  <w:t>November 2007 to January 2011</w:t>
      </w:r>
    </w:p>
    <w:p w14:paraId="7AC5FFEF" w14:textId="77777777" w:rsidR="009F7345" w:rsidRDefault="009F7345">
      <w:pPr>
        <w:jc w:val="both"/>
        <w:rPr>
          <w:rFonts w:asciiTheme="majorHAnsi" w:hAnsiTheme="majorHAnsi"/>
          <w:b/>
          <w:sz w:val="21"/>
          <w:szCs w:val="21"/>
        </w:rPr>
      </w:pPr>
    </w:p>
    <w:p w14:paraId="18F860B3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0BA263A9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Handles daily cash checking of Singapore Caltex Retail Station’s sales (book versus bank).</w:t>
      </w:r>
    </w:p>
    <w:p w14:paraId="6FD5F972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Performs matching of credit card and </w:t>
      </w:r>
      <w:proofErr w:type="spellStart"/>
      <w:r>
        <w:rPr>
          <w:rFonts w:asciiTheme="majorHAnsi" w:hAnsiTheme="majorHAnsi"/>
          <w:sz w:val="21"/>
          <w:szCs w:val="21"/>
        </w:rPr>
        <w:t>starcard</w:t>
      </w:r>
      <w:proofErr w:type="spellEnd"/>
      <w:r>
        <w:rPr>
          <w:rFonts w:asciiTheme="majorHAnsi" w:hAnsiTheme="majorHAnsi"/>
          <w:sz w:val="21"/>
          <w:szCs w:val="21"/>
        </w:rPr>
        <w:t xml:space="preserve"> sales transaction.</w:t>
      </w:r>
    </w:p>
    <w:p w14:paraId="7ECF8D4F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Uploads to SAP the daily </w:t>
      </w:r>
      <w:proofErr w:type="spellStart"/>
      <w:r>
        <w:rPr>
          <w:rFonts w:asciiTheme="majorHAnsi" w:hAnsiTheme="majorHAnsi"/>
          <w:sz w:val="21"/>
          <w:szCs w:val="21"/>
        </w:rPr>
        <w:t>wetstock</w:t>
      </w:r>
      <w:proofErr w:type="spellEnd"/>
      <w:r>
        <w:rPr>
          <w:rFonts w:asciiTheme="majorHAnsi" w:hAnsiTheme="majorHAnsi"/>
          <w:sz w:val="21"/>
          <w:szCs w:val="21"/>
        </w:rPr>
        <w:t xml:space="preserve"> sales.</w:t>
      </w:r>
    </w:p>
    <w:p w14:paraId="7B6D1C7C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Resolution of differences noted during the matching (email to Station Managers for investigation) and proposes adjusting entries for upload to SAP.</w:t>
      </w:r>
    </w:p>
    <w:p w14:paraId="23EACCF1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Bank Reconciliation for cash accounts and </w:t>
      </w:r>
      <w:proofErr w:type="spellStart"/>
      <w:r>
        <w:rPr>
          <w:rFonts w:asciiTheme="majorHAnsi" w:hAnsiTheme="majorHAnsi"/>
          <w:sz w:val="21"/>
          <w:szCs w:val="21"/>
        </w:rPr>
        <w:t>Starcard</w:t>
      </w:r>
      <w:proofErr w:type="spellEnd"/>
      <w:r>
        <w:rPr>
          <w:rFonts w:asciiTheme="majorHAnsi" w:hAnsiTheme="majorHAnsi"/>
          <w:sz w:val="21"/>
          <w:szCs w:val="21"/>
        </w:rPr>
        <w:t xml:space="preserve"> Reconciliation (SGD and USD) and sends trace and escalation for long outstanding open items. </w:t>
      </w:r>
    </w:p>
    <w:p w14:paraId="01C4F1D3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Send required reports to Local Finance as per service level agreement.</w:t>
      </w:r>
    </w:p>
    <w:p w14:paraId="7B7DEEEF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Performs month-end close activities.</w:t>
      </w:r>
    </w:p>
    <w:p w14:paraId="29444B60" w14:textId="77777777" w:rsidR="009F7345" w:rsidRDefault="00924837">
      <w:pPr>
        <w:numPr>
          <w:ilvl w:val="0"/>
          <w:numId w:val="3"/>
        </w:numPr>
        <w:ind w:left="630" w:hanging="5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Back up for Singapore Key Accountant</w:t>
      </w:r>
    </w:p>
    <w:p w14:paraId="3C0C78B8" w14:textId="77777777" w:rsidR="009F7345" w:rsidRDefault="009F7345">
      <w:pPr>
        <w:ind w:left="720" w:hanging="720"/>
        <w:rPr>
          <w:rFonts w:asciiTheme="majorHAnsi" w:hAnsiTheme="majorHAnsi"/>
          <w:b/>
          <w:sz w:val="21"/>
          <w:szCs w:val="21"/>
        </w:rPr>
      </w:pPr>
    </w:p>
    <w:p w14:paraId="457FF253" w14:textId="77777777" w:rsidR="009F7345" w:rsidRDefault="009F7345">
      <w:pPr>
        <w:rPr>
          <w:rFonts w:asciiTheme="majorHAnsi" w:hAnsiTheme="majorHAnsi"/>
          <w:b/>
          <w:sz w:val="21"/>
          <w:szCs w:val="21"/>
        </w:rPr>
      </w:pPr>
    </w:p>
    <w:p w14:paraId="58803EEE" w14:textId="77777777" w:rsidR="009F7345" w:rsidRDefault="009F7345">
      <w:pPr>
        <w:rPr>
          <w:rFonts w:asciiTheme="majorHAnsi" w:hAnsiTheme="majorHAnsi"/>
          <w:b/>
          <w:sz w:val="21"/>
          <w:szCs w:val="21"/>
        </w:rPr>
      </w:pPr>
    </w:p>
    <w:p w14:paraId="4AFB1610" w14:textId="1922EFA2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Position: </w:t>
      </w:r>
      <w:r>
        <w:rPr>
          <w:rFonts w:asciiTheme="majorHAnsi" w:hAnsiTheme="majorHAnsi"/>
          <w:b/>
          <w:sz w:val="21"/>
          <w:szCs w:val="21"/>
        </w:rPr>
        <w:tab/>
        <w:t>Treasury Assistant</w:t>
      </w:r>
    </w:p>
    <w:p w14:paraId="1D8A4958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Company: </w:t>
      </w:r>
      <w:r>
        <w:rPr>
          <w:rFonts w:asciiTheme="majorHAnsi" w:hAnsiTheme="majorHAnsi"/>
          <w:b/>
          <w:sz w:val="21"/>
          <w:szCs w:val="21"/>
        </w:rPr>
        <w:tab/>
        <w:t>Rizal Commercial Banking Corporation</w:t>
      </w:r>
    </w:p>
    <w:p w14:paraId="5D2C6D2A" w14:textId="77777777" w:rsidR="009F7345" w:rsidRDefault="00924837">
      <w:pPr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Period:</w:t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  <w:t>August 2006 to November 2007</w:t>
      </w:r>
    </w:p>
    <w:p w14:paraId="0C64C6F1" w14:textId="77777777" w:rsidR="009F7345" w:rsidRDefault="009F7345">
      <w:pPr>
        <w:jc w:val="both"/>
        <w:rPr>
          <w:rFonts w:asciiTheme="majorHAnsi" w:hAnsiTheme="majorHAnsi"/>
          <w:sz w:val="21"/>
          <w:szCs w:val="21"/>
        </w:rPr>
      </w:pPr>
    </w:p>
    <w:p w14:paraId="1130C77F" w14:textId="77777777" w:rsidR="009F7345" w:rsidRDefault="0092483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DUTIES AND RESPONSIBILITIES</w:t>
      </w:r>
    </w:p>
    <w:p w14:paraId="1762129B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Processing Government Securities transactions such as coupon interest payment and maturity (balancing and journal entry)</w:t>
      </w:r>
    </w:p>
    <w:p w14:paraId="28707204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Accomplish documents requirements of Central Bank and Bureau of Treasury (e.g., money market report and interbank report)</w:t>
      </w:r>
    </w:p>
    <w:p w14:paraId="7CD2D5A5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Preparation of confirmation of sale and purchase.</w:t>
      </w:r>
    </w:p>
    <w:p w14:paraId="3F5B251C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Does the mark-to-market rates of existing securities (get rates in </w:t>
      </w:r>
      <w:r w:rsidR="00F620DA">
        <w:rPr>
          <w:rFonts w:asciiTheme="majorHAnsi" w:hAnsiTheme="majorHAnsi"/>
          <w:sz w:val="21"/>
          <w:szCs w:val="21"/>
        </w:rPr>
        <w:t>Bloomberg</w:t>
      </w:r>
      <w:r>
        <w:rPr>
          <w:rFonts w:asciiTheme="majorHAnsi" w:hAnsiTheme="majorHAnsi"/>
          <w:sz w:val="21"/>
          <w:szCs w:val="21"/>
        </w:rPr>
        <w:t xml:space="preserve"> and input to OPICS for system processing)</w:t>
      </w:r>
    </w:p>
    <w:p w14:paraId="26AB7AEA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Processes Dollar-Peso transactions through payment versus payment</w:t>
      </w:r>
    </w:p>
    <w:p w14:paraId="1B973163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Processing the buying and selling of securities through electronic Telerate dealing system to </w:t>
      </w:r>
      <w:proofErr w:type="spellStart"/>
      <w:r>
        <w:rPr>
          <w:rFonts w:asciiTheme="majorHAnsi" w:hAnsiTheme="majorHAnsi"/>
          <w:sz w:val="21"/>
          <w:szCs w:val="21"/>
        </w:rPr>
        <w:t>BTr</w:t>
      </w:r>
      <w:proofErr w:type="spellEnd"/>
      <w:r>
        <w:rPr>
          <w:rFonts w:asciiTheme="majorHAnsi" w:hAnsiTheme="majorHAnsi"/>
          <w:sz w:val="21"/>
          <w:szCs w:val="21"/>
        </w:rPr>
        <w:t xml:space="preserve"> ROSS</w:t>
      </w:r>
    </w:p>
    <w:p w14:paraId="124E564B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Debit and credit client’s account through online system</w:t>
      </w:r>
    </w:p>
    <w:p w14:paraId="62513EFB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Balances treasury accounts (accounting schedule vs. system)</w:t>
      </w:r>
    </w:p>
    <w:p w14:paraId="61EA04D0" w14:textId="77777777" w:rsidR="009F7345" w:rsidRDefault="00924837">
      <w:pPr>
        <w:numPr>
          <w:ilvl w:val="0"/>
          <w:numId w:val="4"/>
        </w:numPr>
        <w:ind w:left="540" w:hanging="54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Client interaction thru phone confirmation of transactions and when client comes to office to personally transact. </w:t>
      </w:r>
    </w:p>
    <w:p w14:paraId="69C79366" w14:textId="77777777" w:rsidR="009F7345" w:rsidRDefault="009F7345">
      <w:pPr>
        <w:jc w:val="both"/>
        <w:rPr>
          <w:rFonts w:asciiTheme="majorHAnsi" w:hAnsiTheme="majorHAnsi"/>
          <w:sz w:val="22"/>
          <w:szCs w:val="22"/>
        </w:rPr>
      </w:pPr>
    </w:p>
    <w:p w14:paraId="286EA937" w14:textId="77777777" w:rsidR="009F7345" w:rsidRDefault="009F7345">
      <w:pPr>
        <w:jc w:val="both"/>
        <w:rPr>
          <w:rFonts w:asciiTheme="majorHAnsi" w:hAnsiTheme="majorHAnsi"/>
          <w:sz w:val="22"/>
          <w:szCs w:val="22"/>
        </w:rPr>
      </w:pPr>
    </w:p>
    <w:p w14:paraId="385E71CE" w14:textId="77777777" w:rsidR="009F7345" w:rsidRDefault="009F7345">
      <w:pPr>
        <w:jc w:val="both"/>
        <w:rPr>
          <w:rFonts w:asciiTheme="majorHAnsi" w:hAnsiTheme="majorHAnsi"/>
          <w:sz w:val="22"/>
          <w:szCs w:val="22"/>
        </w:rPr>
      </w:pPr>
    </w:p>
    <w:p w14:paraId="1A40C8F9" w14:textId="77777777" w:rsidR="009F7345" w:rsidRDefault="009F7345">
      <w:pPr>
        <w:jc w:val="both"/>
        <w:rPr>
          <w:rFonts w:asciiTheme="majorHAnsi" w:hAnsiTheme="majorHAnsi"/>
          <w:sz w:val="22"/>
          <w:szCs w:val="22"/>
        </w:rPr>
      </w:pPr>
    </w:p>
    <w:p w14:paraId="426AC9D4" w14:textId="77777777" w:rsidR="009F7345" w:rsidRDefault="009F7345">
      <w:pPr>
        <w:rPr>
          <w:rFonts w:asciiTheme="majorHAnsi" w:hAnsiTheme="majorHAnsi" w:cs="Tahoma"/>
          <w:sz w:val="21"/>
          <w:szCs w:val="21"/>
          <w:lang w:val="it-IT"/>
        </w:rPr>
      </w:pPr>
    </w:p>
    <w:p w14:paraId="15CDADE6" w14:textId="77777777" w:rsidR="009F7345" w:rsidRDefault="009F7345">
      <w:pPr>
        <w:rPr>
          <w:rFonts w:asciiTheme="majorHAnsi" w:hAnsiTheme="majorHAnsi" w:cs="Tahoma"/>
          <w:sz w:val="21"/>
          <w:szCs w:val="21"/>
          <w:lang w:val="it-IT"/>
        </w:rPr>
      </w:pPr>
    </w:p>
    <w:p w14:paraId="0E9508E7" w14:textId="77777777" w:rsidR="009F7345" w:rsidRDefault="009F7345">
      <w:pPr>
        <w:rPr>
          <w:rFonts w:asciiTheme="majorHAnsi" w:hAnsiTheme="majorHAnsi" w:cs="Tahoma"/>
          <w:sz w:val="21"/>
          <w:szCs w:val="21"/>
          <w:lang w:val="it-IT"/>
        </w:rPr>
      </w:pPr>
    </w:p>
    <w:p w14:paraId="0683502D" w14:textId="77777777" w:rsidR="009F7345" w:rsidRDefault="00924837">
      <w:pPr>
        <w:rPr>
          <w:rFonts w:asciiTheme="majorHAnsi" w:hAnsiTheme="majorHAnsi"/>
          <w:sz w:val="21"/>
          <w:szCs w:val="21"/>
        </w:rPr>
        <w:sectPr w:rsidR="009F7345">
          <w:type w:val="continuous"/>
          <w:pgSz w:w="11906" w:h="16838"/>
          <w:pgMar w:top="567" w:right="567" w:bottom="567" w:left="567" w:header="567" w:footer="567" w:gutter="0"/>
          <w:cols w:space="568"/>
          <w:docGrid w:linePitch="360"/>
        </w:sectPr>
      </w:pPr>
      <w:r>
        <w:rPr>
          <w:rFonts w:asciiTheme="majorHAnsi" w:hAnsiTheme="majorHAnsi" w:cs="Tahoma"/>
          <w:sz w:val="21"/>
          <w:szCs w:val="21"/>
          <w:lang w:val="it-IT"/>
        </w:rPr>
        <w:t>I hereby certify that the information given above is true and correct to the best of my knowledge.</w:t>
      </w:r>
    </w:p>
    <w:p w14:paraId="76A7820C" w14:textId="77777777" w:rsidR="009F7345" w:rsidRPr="00924837" w:rsidRDefault="009F7345">
      <w:pPr>
        <w:rPr>
          <w:rFonts w:ascii="Tahoma" w:hAnsi="Tahoma" w:cs="Tahoma"/>
          <w:sz w:val="21"/>
          <w:szCs w:val="21"/>
        </w:rPr>
      </w:pPr>
    </w:p>
    <w:sectPr w:rsidR="009F7345" w:rsidRPr="00924837">
      <w:type w:val="continuous"/>
      <w:pgSz w:w="11906" w:h="16838"/>
      <w:pgMar w:top="567" w:right="567" w:bottom="567" w:left="567" w:header="567" w:footer="567" w:gutter="0"/>
      <w:cols w:num="2" w:space="720" w:equalWidth="0">
        <w:col w:w="2835" w:space="568"/>
        <w:col w:w="73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3E2"/>
    <w:multiLevelType w:val="multilevel"/>
    <w:tmpl w:val="1E5843E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3A1002E"/>
    <w:multiLevelType w:val="multilevel"/>
    <w:tmpl w:val="23A1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448E"/>
    <w:multiLevelType w:val="multilevel"/>
    <w:tmpl w:val="29654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7B85"/>
    <w:multiLevelType w:val="multilevel"/>
    <w:tmpl w:val="500B7B85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activeWritingStyle w:appName="MSWord" w:lang="it-IT" w:vendorID="3" w:dllVersion="517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D"/>
    <w:rsid w:val="000403D1"/>
    <w:rsid w:val="00044252"/>
    <w:rsid w:val="00087F0A"/>
    <w:rsid w:val="000C088B"/>
    <w:rsid w:val="000D7778"/>
    <w:rsid w:val="000F0030"/>
    <w:rsid w:val="00127925"/>
    <w:rsid w:val="00165402"/>
    <w:rsid w:val="00182D27"/>
    <w:rsid w:val="001A3ABB"/>
    <w:rsid w:val="001B3C39"/>
    <w:rsid w:val="001C5DAA"/>
    <w:rsid w:val="001E118A"/>
    <w:rsid w:val="001F2A41"/>
    <w:rsid w:val="00205BF4"/>
    <w:rsid w:val="00266A95"/>
    <w:rsid w:val="002C06B3"/>
    <w:rsid w:val="002C37A6"/>
    <w:rsid w:val="002C435D"/>
    <w:rsid w:val="002D2635"/>
    <w:rsid w:val="002D67DD"/>
    <w:rsid w:val="002E03DA"/>
    <w:rsid w:val="003A614B"/>
    <w:rsid w:val="003A6DEF"/>
    <w:rsid w:val="003D52B5"/>
    <w:rsid w:val="003F5AFC"/>
    <w:rsid w:val="00400D5B"/>
    <w:rsid w:val="00410696"/>
    <w:rsid w:val="0048067E"/>
    <w:rsid w:val="00483F7C"/>
    <w:rsid w:val="004842BE"/>
    <w:rsid w:val="004A3B14"/>
    <w:rsid w:val="004B42C3"/>
    <w:rsid w:val="004F4E49"/>
    <w:rsid w:val="00553B9E"/>
    <w:rsid w:val="005768BA"/>
    <w:rsid w:val="00590767"/>
    <w:rsid w:val="005A7E6D"/>
    <w:rsid w:val="005A7F2B"/>
    <w:rsid w:val="005C53A6"/>
    <w:rsid w:val="005C53DE"/>
    <w:rsid w:val="005C7CAE"/>
    <w:rsid w:val="005D3B7C"/>
    <w:rsid w:val="005E02A3"/>
    <w:rsid w:val="005F6C35"/>
    <w:rsid w:val="00605240"/>
    <w:rsid w:val="0065774E"/>
    <w:rsid w:val="006622E9"/>
    <w:rsid w:val="006722CE"/>
    <w:rsid w:val="006A6BBB"/>
    <w:rsid w:val="006C0460"/>
    <w:rsid w:val="006D10F0"/>
    <w:rsid w:val="006D4AF5"/>
    <w:rsid w:val="006E0FC8"/>
    <w:rsid w:val="006E5D94"/>
    <w:rsid w:val="007079B8"/>
    <w:rsid w:val="007154D6"/>
    <w:rsid w:val="007441F1"/>
    <w:rsid w:val="00771184"/>
    <w:rsid w:val="007B7376"/>
    <w:rsid w:val="007B7FDE"/>
    <w:rsid w:val="007D2D84"/>
    <w:rsid w:val="007E3954"/>
    <w:rsid w:val="00826C17"/>
    <w:rsid w:val="00827400"/>
    <w:rsid w:val="00862A00"/>
    <w:rsid w:val="00924837"/>
    <w:rsid w:val="00933B26"/>
    <w:rsid w:val="00974F2A"/>
    <w:rsid w:val="009B598B"/>
    <w:rsid w:val="009B73B1"/>
    <w:rsid w:val="009C0C82"/>
    <w:rsid w:val="009E4ECC"/>
    <w:rsid w:val="009F7345"/>
    <w:rsid w:val="00A05133"/>
    <w:rsid w:val="00A44370"/>
    <w:rsid w:val="00A53091"/>
    <w:rsid w:val="00A66768"/>
    <w:rsid w:val="00A67F12"/>
    <w:rsid w:val="00AC0CDC"/>
    <w:rsid w:val="00AD5130"/>
    <w:rsid w:val="00AE2332"/>
    <w:rsid w:val="00B32D34"/>
    <w:rsid w:val="00B33BB5"/>
    <w:rsid w:val="00B54750"/>
    <w:rsid w:val="00B66A97"/>
    <w:rsid w:val="00B93C6C"/>
    <w:rsid w:val="00BD2075"/>
    <w:rsid w:val="00BE52E3"/>
    <w:rsid w:val="00C00A58"/>
    <w:rsid w:val="00C50A45"/>
    <w:rsid w:val="00C77010"/>
    <w:rsid w:val="00C932CF"/>
    <w:rsid w:val="00C9430F"/>
    <w:rsid w:val="00D24540"/>
    <w:rsid w:val="00D366F9"/>
    <w:rsid w:val="00D367FD"/>
    <w:rsid w:val="00D4092D"/>
    <w:rsid w:val="00D5298C"/>
    <w:rsid w:val="00D55423"/>
    <w:rsid w:val="00D84F1D"/>
    <w:rsid w:val="00D908F8"/>
    <w:rsid w:val="00DA1415"/>
    <w:rsid w:val="00DA5FFB"/>
    <w:rsid w:val="00DE2DD6"/>
    <w:rsid w:val="00DF579B"/>
    <w:rsid w:val="00E00F9E"/>
    <w:rsid w:val="00E0181C"/>
    <w:rsid w:val="00E07C2D"/>
    <w:rsid w:val="00E55CCF"/>
    <w:rsid w:val="00E75F21"/>
    <w:rsid w:val="00E77166"/>
    <w:rsid w:val="00E90F96"/>
    <w:rsid w:val="00EA0BA8"/>
    <w:rsid w:val="00EA3221"/>
    <w:rsid w:val="00F620DA"/>
    <w:rsid w:val="00F93FE5"/>
    <w:rsid w:val="00FE64C2"/>
    <w:rsid w:val="00FF14E9"/>
    <w:rsid w:val="2A5760F9"/>
    <w:rsid w:val="41743DC2"/>
    <w:rsid w:val="5B5E523A"/>
    <w:rsid w:val="615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2B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</w:tabs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40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</w:tabs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40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1477</Words>
  <Characters>8421</Characters>
  <Application>Microsoft Office Word</Application>
  <DocSecurity>0</DocSecurity>
  <Lines>70</Lines>
  <Paragraphs>19</Paragraphs>
  <ScaleCrop>false</ScaleCrop>
  <Company>Toshiba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784812338</cp:lastModifiedBy>
  <cp:revision>20</cp:revision>
  <cp:lastPrinted>2017-08-15T16:23:00Z</cp:lastPrinted>
  <dcterms:created xsi:type="dcterms:W3CDTF">2017-08-18T09:58:00Z</dcterms:created>
  <dcterms:modified xsi:type="dcterms:W3CDTF">2017-09-12T05:38:00Z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