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74"/>
        <w:gridCol w:w="4208"/>
      </w:tblGrid>
      <w:tr w:rsidR="002563F1" w:rsidRPr="00621E41" w:rsidTr="002054C6">
        <w:tc>
          <w:tcPr>
            <w:tcW w:w="6339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2563F1" w:rsidRPr="00621E41" w:rsidTr="002054C6">
              <w:tc>
                <w:tcPr>
                  <w:tcW w:w="6237" w:type="dxa"/>
                </w:tcPr>
                <w:p w:rsidR="002563F1" w:rsidRPr="00621E41" w:rsidRDefault="002563F1" w:rsidP="002054C6">
                  <w:pPr>
                    <w:spacing w:before="80" w:after="0" w:line="240" w:lineRule="auto"/>
                    <w:rPr>
                      <w:rFonts w:asciiTheme="majorHAnsi" w:hAnsiTheme="majorHAnsi" w:cs="Arial"/>
                      <w:b/>
                      <w:bCs/>
                      <w:color w:val="595959" w:themeColor="text1" w:themeTint="A6"/>
                      <w:sz w:val="42"/>
                      <w:szCs w:val="42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noProof/>
                      <w:color w:val="595959" w:themeColor="text1" w:themeTint="A6"/>
                      <w:lang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86360</wp:posOffset>
                        </wp:positionV>
                        <wp:extent cx="819150" cy="1028700"/>
                        <wp:effectExtent l="38100" t="38100" r="38100" b="38100"/>
                        <wp:wrapThrough wrapText="bothSides">
                          <wp:wrapPolygon edited="0">
                            <wp:start x="-1005" y="-800"/>
                            <wp:lineTo x="-1005" y="22000"/>
                            <wp:lineTo x="22102" y="22000"/>
                            <wp:lineTo x="22102" y="-800"/>
                            <wp:lineTo x="-1005" y="-800"/>
                          </wp:wrapPolygon>
                        </wp:wrapThrough>
                        <wp:docPr id="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qas pic 2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10287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621E41">
                    <w:rPr>
                      <w:rFonts w:asciiTheme="majorHAnsi" w:hAnsiTheme="majorHAnsi" w:cs="Arial"/>
                      <w:b/>
                      <w:bCs/>
                      <w:color w:val="595959" w:themeColor="text1" w:themeTint="A6"/>
                      <w:sz w:val="42"/>
                      <w:szCs w:val="42"/>
                    </w:rPr>
                    <w:t>Asim</w:t>
                  </w:r>
                  <w:proofErr w:type="spellEnd"/>
                  <w:r w:rsidRPr="00621E41">
                    <w:rPr>
                      <w:rFonts w:asciiTheme="majorHAnsi" w:hAnsiTheme="majorHAnsi" w:cs="Arial"/>
                      <w:b/>
                      <w:bCs/>
                      <w:color w:val="595959" w:themeColor="text1" w:themeTint="A6"/>
                      <w:sz w:val="42"/>
                      <w:szCs w:val="42"/>
                    </w:rPr>
                    <w:t xml:space="preserve"> </w:t>
                  </w:r>
                </w:p>
                <w:p w:rsidR="002563F1" w:rsidRPr="00621E41" w:rsidRDefault="002563F1" w:rsidP="002054C6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 xml:space="preserve">Dubai </w:t>
                  </w:r>
                </w:p>
                <w:p w:rsidR="002563F1" w:rsidRPr="00621E41" w:rsidRDefault="002563F1" w:rsidP="002054C6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UAE</w:t>
                  </w:r>
                </w:p>
                <w:p w:rsidR="002563F1" w:rsidRPr="00621E41" w:rsidRDefault="002563F1" w:rsidP="002054C6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 xml:space="preserve"> </w:t>
                  </w:r>
                </w:p>
                <w:p w:rsidR="002563F1" w:rsidRPr="00621E41" w:rsidRDefault="002563F1" w:rsidP="002054C6">
                  <w:pPr>
                    <w:spacing w:before="80" w:after="0" w:line="240" w:lineRule="auto"/>
                    <w:rPr>
                      <w:rFonts w:asciiTheme="majorHAnsi" w:hAnsiTheme="majorHAnsi" w:cs="Arial"/>
                      <w:b/>
                      <w:bCs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2563F1" w:rsidRPr="00621E41" w:rsidTr="002054C6">
              <w:tc>
                <w:tcPr>
                  <w:tcW w:w="6237" w:type="dxa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Nationality : Pakistani ▪ Date of Birth : 05 December, 1987</w:t>
                  </w: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127" w:type="dxa"/>
          </w:tcPr>
          <w:tbl>
            <w:tblPr>
              <w:tblW w:w="396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68"/>
            </w:tblGrid>
            <w:tr w:rsidR="002563F1" w:rsidRPr="00621E41" w:rsidTr="002054C6">
              <w:trPr>
                <w:trHeight w:val="292"/>
              </w:trPr>
              <w:tc>
                <w:tcPr>
                  <w:tcW w:w="396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Contact</w:t>
                  </w:r>
                </w:p>
              </w:tc>
            </w:tr>
            <w:tr w:rsidR="002563F1" w:rsidRPr="00621E41" w:rsidTr="002054C6">
              <w:trPr>
                <w:trHeight w:val="845"/>
              </w:trPr>
              <w:tc>
                <w:tcPr>
                  <w:tcW w:w="3968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2563F1" w:rsidRDefault="002563F1" w:rsidP="002054C6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  <w:sz w:val="19"/>
                      <w:szCs w:val="19"/>
                      <w:shd w:val="clear" w:color="auto" w:fill="FFFFFF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lang w:val="fr-FR"/>
                    </w:rPr>
                    <w:t>e-mail :</w:t>
                  </w:r>
                  <w:r w:rsidR="009610F6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lang w:val="fr-FR"/>
                    </w:rPr>
                    <w:t xml:space="preserve"> </w:t>
                  </w:r>
                  <w:hyperlink r:id="rId6" w:history="1">
                    <w:r w:rsidR="009610F6" w:rsidRPr="006E6EEF">
                      <w:rPr>
                        <w:rStyle w:val="Hyperlink"/>
                        <w:rFonts w:ascii="Arial" w:hAnsi="Arial" w:cs="Arial"/>
                        <w:sz w:val="19"/>
                        <w:szCs w:val="19"/>
                        <w:shd w:val="clear" w:color="auto" w:fill="FFFFFF"/>
                      </w:rPr>
                      <w:t>asim.375453@2freemail.com</w:t>
                    </w:r>
                  </w:hyperlink>
                  <w:r w:rsidR="009610F6">
                    <w:rPr>
                      <w:rFonts w:ascii="Arial" w:hAnsi="Arial" w:cs="Arial"/>
                      <w:color w:val="595959" w:themeColor="text1" w:themeTint="A6"/>
                      <w:sz w:val="19"/>
                      <w:szCs w:val="19"/>
                      <w:shd w:val="clear" w:color="auto" w:fill="FFFFFF"/>
                    </w:rPr>
                    <w:t xml:space="preserve">  </w:t>
                  </w:r>
                </w:p>
                <w:p w:rsidR="009610F6" w:rsidRPr="00621E41" w:rsidRDefault="009610F6" w:rsidP="002054C6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  <w:sz w:val="19"/>
                      <w:szCs w:val="19"/>
                      <w:shd w:val="clear" w:color="auto" w:fill="FFFFFF"/>
                    </w:rPr>
                  </w:pPr>
                </w:p>
                <w:p w:rsidR="002563F1" w:rsidRPr="00621E41" w:rsidRDefault="002563F1" w:rsidP="002054C6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lang w:val="fr-FR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  <w:sz w:val="19"/>
                      <w:szCs w:val="19"/>
                      <w:shd w:val="clear" w:color="auto" w:fill="FFFFFF"/>
                    </w:rPr>
                    <w:t xml:space="preserve">          </w:t>
                  </w:r>
                </w:p>
              </w:tc>
            </w:tr>
            <w:tr w:rsidR="002563F1" w:rsidRPr="00621E41" w:rsidTr="002054C6">
              <w:trPr>
                <w:trHeight w:val="292"/>
              </w:trPr>
              <w:tc>
                <w:tcPr>
                  <w:tcW w:w="396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563F1" w:rsidRPr="00621E41" w:rsidRDefault="002563F1" w:rsidP="002054C6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On Visit Visa --- January 15, 2018</w:t>
                  </w: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lang w:val="fr-FR"/>
              </w:rPr>
            </w:pPr>
          </w:p>
        </w:tc>
      </w:tr>
      <w:tr w:rsidR="002563F1" w:rsidRPr="00621E41" w:rsidTr="002054C6">
        <w:tc>
          <w:tcPr>
            <w:tcW w:w="10466" w:type="dxa"/>
            <w:gridSpan w:val="2"/>
          </w:tcPr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Education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7"/>
                    </w:numPr>
                    <w:spacing w:before="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lang w:val="fr-FR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CA Final (Continue)</w:t>
                  </w:r>
                </w:p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7"/>
                    </w:numPr>
                    <w:spacing w:before="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lang w:val="fr-FR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MBA (Accounting &amp; Finance)</w:t>
                  </w:r>
                </w:p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7"/>
                    </w:numPr>
                    <w:spacing w:before="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lang w:val="fr-FR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CA Inter/ CAF (Certificate in Accounting &amp; Finance)</w:t>
                  </w: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lang w:val="fr-FR"/>
              </w:rPr>
            </w:pPr>
          </w:p>
        </w:tc>
      </w:tr>
      <w:tr w:rsidR="002563F1" w:rsidRPr="00621E41" w:rsidTr="002054C6">
        <w:tc>
          <w:tcPr>
            <w:tcW w:w="10466" w:type="dxa"/>
            <w:gridSpan w:val="2"/>
          </w:tcPr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Profile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2563F1" w:rsidRPr="00621E41" w:rsidTr="002054C6">
                    <w:trPr>
                      <w:trHeight w:val="405"/>
                    </w:trPr>
                    <w:tc>
                      <w:tcPr>
                        <w:tcW w:w="2145" w:type="dxa"/>
                      </w:tcPr>
                      <w:p w:rsidR="002563F1" w:rsidRPr="00621E41" w:rsidRDefault="002563F1" w:rsidP="002054C6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2563F1" w:rsidRPr="00621E41" w:rsidRDefault="002563F1" w:rsidP="002054C6">
                        <w:p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Proactive Professional, targeting challenging role across  Accounting, Taxation, Financial Reporting &amp; Financial Management with reputed organization, demanding high standards of integrity, objectivity &amp; technical excellence for sustainable organizational growth</w:t>
                        </w:r>
                      </w:p>
                    </w:tc>
                  </w:tr>
                  <w:tr w:rsidR="002563F1" w:rsidRPr="00621E41" w:rsidTr="002054C6">
                    <w:trPr>
                      <w:trHeight w:val="495"/>
                    </w:trPr>
                    <w:tc>
                      <w:tcPr>
                        <w:tcW w:w="2145" w:type="dxa"/>
                      </w:tcPr>
                      <w:p w:rsidR="002563F1" w:rsidRPr="00621E41" w:rsidRDefault="002563F1" w:rsidP="002054C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 xml:space="preserve">       Functional Area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2563F1" w:rsidRPr="00621E41" w:rsidRDefault="002563F1" w:rsidP="002054C6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Accounting, Audit and Taxation</w:t>
                        </w:r>
                      </w:p>
                    </w:tc>
                  </w:tr>
                </w:tbl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563F1" w:rsidRPr="00621E41" w:rsidTr="002054C6">
        <w:tc>
          <w:tcPr>
            <w:tcW w:w="10466" w:type="dxa"/>
            <w:gridSpan w:val="2"/>
          </w:tcPr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tbl>
            <w:tblPr>
              <w:tblW w:w="1044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rPr>
                <w:trHeight w:val="185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Key Skills</w:t>
                  </w:r>
                </w:p>
              </w:tc>
            </w:tr>
            <w:tr w:rsidR="002563F1" w:rsidRPr="00621E41" w:rsidTr="002054C6">
              <w:trPr>
                <w:trHeight w:val="749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563F1" w:rsidRPr="00621E41" w:rsidRDefault="002563F1" w:rsidP="002054C6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Cs/>
                      <w:color w:val="595959" w:themeColor="text1" w:themeTint="A6"/>
                    </w:rPr>
                    <w:t>Proficient &amp; familiar with a vast array of Management &amp; Accounting concepts and techniques:</w:t>
                  </w:r>
                </w:p>
                <w:tbl>
                  <w:tblPr>
                    <w:tblW w:w="10335" w:type="dxa"/>
                    <w:tblLook w:val="04A0"/>
                  </w:tblPr>
                  <w:tblGrid>
                    <w:gridCol w:w="2583"/>
                    <w:gridCol w:w="2584"/>
                    <w:gridCol w:w="2584"/>
                    <w:gridCol w:w="2584"/>
                  </w:tblGrid>
                  <w:tr w:rsidR="002563F1" w:rsidRPr="00621E41" w:rsidTr="002054C6">
                    <w:trPr>
                      <w:trHeight w:val="267"/>
                    </w:trPr>
                    <w:tc>
                      <w:tcPr>
                        <w:tcW w:w="2583" w:type="dxa"/>
                        <w:tcBorders>
                          <w:right w:val="single" w:sz="4" w:space="0" w:color="6D83B3"/>
                        </w:tcBorders>
                      </w:tcPr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Professionalism &amp; Ethics</w:t>
                        </w:r>
                      </w:p>
                      <w:p w:rsidR="002563F1" w:rsidRDefault="002563F1" w:rsidP="002563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</w:pPr>
                        <w:r w:rsidRPr="00776054"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Financial Statements</w:t>
                        </w:r>
                      </w:p>
                      <w:p w:rsidR="002563F1" w:rsidRPr="00776054" w:rsidRDefault="002563F1" w:rsidP="002563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</w:pPr>
                        <w:r w:rsidRPr="00776054"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Income Tax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GST/VAT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Account Payables</w:t>
                        </w:r>
                      </w:p>
                      <w:p w:rsidR="002563F1" w:rsidRPr="00621E41" w:rsidRDefault="002563F1" w:rsidP="002054C6">
                        <w:pPr>
                          <w:tabs>
                            <w:tab w:val="left" w:pos="2700"/>
                          </w:tabs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Financial Reporting (IAS/IFRS)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</w:rPr>
                          <w:t>Financial Statement Analysis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Accounts Receivables</w:t>
                        </w:r>
                      </w:p>
                    </w:tc>
                    <w:tc>
                      <w:tcPr>
                        <w:tcW w:w="258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2563F1" w:rsidRPr="00D444D7" w:rsidRDefault="002563F1" w:rsidP="002563F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Fixed Assets Management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Cost Accounting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Internal Control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Working Capital Management</w:t>
                        </w:r>
                      </w:p>
                    </w:tc>
                    <w:tc>
                      <w:tcPr>
                        <w:tcW w:w="2584" w:type="dxa"/>
                        <w:tcBorders>
                          <w:left w:val="single" w:sz="4" w:space="0" w:color="6D83B3"/>
                        </w:tcBorders>
                      </w:tcPr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Internal Audit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External Audit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</w:rPr>
                          <w:t>Financial Management</w:t>
                        </w:r>
                      </w:p>
                      <w:p w:rsidR="002563F1" w:rsidRDefault="002563F1" w:rsidP="002563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Budgeting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</w:rPr>
                          <w:t>Bank Reconciliation</w:t>
                        </w:r>
                      </w:p>
                    </w:tc>
                  </w:tr>
                </w:tbl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563F1" w:rsidRPr="00621E41" w:rsidTr="002054C6">
        <w:tc>
          <w:tcPr>
            <w:tcW w:w="10466" w:type="dxa"/>
            <w:gridSpan w:val="2"/>
          </w:tcPr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b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CAREER SYNOPSYS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563F1" w:rsidRPr="00621E41" w:rsidRDefault="002563F1" w:rsidP="002054C6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 xml:space="preserve">Proven </w:t>
                  </w:r>
                  <w:r w:rsidRPr="00621E41">
                    <w:rPr>
                      <w:rFonts w:ascii="Arial" w:hAnsi="Arial" w:cs="Arial"/>
                      <w:b/>
                      <w:color w:val="595959" w:themeColor="text1" w:themeTint="A6"/>
                    </w:rPr>
                    <w:t>5</w:t>
                  </w: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 xml:space="preserve"> years’ experience in </w:t>
                  </w:r>
                </w:p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Preparation, analysis and review of financial statements;</w:t>
                  </w:r>
                </w:p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Preparation and filing of sales tax/VAT returns &amp; WHT statements, income tax returns &amp; WHT statements, correspondence in tax related issues and other compliance matters;</w:t>
                  </w:r>
                </w:p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Capability to apply general knowledge of accounting, financial policies and procedures when responding to specific questions and non-routine problem resolution;</w:t>
                  </w:r>
                </w:p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Experience in liaising with external auditors and internal auditors for audit work;</w:t>
                  </w:r>
                </w:p>
                <w:p w:rsidR="002563F1" w:rsidRPr="00621E41" w:rsidRDefault="002563F1" w:rsidP="002563F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>Extensive knowledge of application &amp; compliance of IAS, IFRS, ISA &amp; regulatory framework;</w:t>
                  </w: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Work Experience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563F1" w:rsidRPr="00621E41" w:rsidRDefault="002563F1" w:rsidP="002054C6">
                  <w:pPr>
                    <w:tabs>
                      <w:tab w:val="left" w:pos="2700"/>
                    </w:tabs>
                    <w:spacing w:before="0" w:after="0" w:line="24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color w:val="595959" w:themeColor="text1" w:themeTint="A6"/>
                    </w:rPr>
                    <w:t xml:space="preserve">Forman Christian College, University                                                     </w:t>
                  </w:r>
                </w:p>
                <w:p w:rsidR="002563F1" w:rsidRPr="00621E41" w:rsidRDefault="002563F1" w:rsidP="002054C6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 xml:space="preserve">Assistant Manager Accounts                     </w:t>
                  </w:r>
                  <w:r w:rsidRPr="00621E41">
                    <w:rPr>
                      <w:rFonts w:ascii="Arial" w:hAnsi="Arial" w:cs="Arial"/>
                      <w:b/>
                      <w:color w:val="595959" w:themeColor="text1" w:themeTint="A6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 xml:space="preserve">                         </w:t>
                  </w:r>
                  <w:r w:rsidRPr="00621E41">
                    <w:rPr>
                      <w:rFonts w:ascii="Arial" w:hAnsi="Arial" w:cs="Arial"/>
                      <w:color w:val="595959" w:themeColor="text1" w:themeTint="A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 xml:space="preserve">Reporting to: </w:t>
                  </w:r>
                  <w:r w:rsidRPr="00621E41">
                    <w:rPr>
                      <w:rFonts w:ascii="Arial" w:hAnsi="Arial" w:cs="Arial"/>
                      <w:b/>
                      <w:color w:val="595959" w:themeColor="text1" w:themeTint="A6"/>
                    </w:rPr>
                    <w:t>Manager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 xml:space="preserve"> Accounts</w:t>
                  </w:r>
                </w:p>
                <w:p w:rsidR="002563F1" w:rsidRPr="00DE665D" w:rsidRDefault="002563F1" w:rsidP="002054C6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i/>
                      <w:color w:val="595959" w:themeColor="text1" w:themeTint="A6"/>
                    </w:rPr>
                    <w:t>Major Roles;</w:t>
                  </w:r>
                  <w:r w:rsidRPr="00621E41">
                    <w:rPr>
                      <w:rFonts w:ascii="Arial" w:hAnsi="Arial" w:cs="Arial"/>
                      <w:b/>
                      <w:color w:val="595959" w:themeColor="text1" w:themeTint="A6"/>
                    </w:rPr>
                    <w:t xml:space="preserve">                                                                                                           August 2015 to  September 2017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hAnsi="Arial" w:cs="Arial"/>
                      <w:color w:val="595959" w:themeColor="text1" w:themeTint="A6"/>
                      <w:shd w:val="clear" w:color="auto" w:fill="FFFFFF"/>
                    </w:rPr>
                    <w:t>Responsible for preparation, analysis and review of Financial Statements;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hAnsi="Arial" w:cs="Arial"/>
                      <w:color w:val="595959" w:themeColor="text1" w:themeTint="A6"/>
                      <w:shd w:val="clear" w:color="auto" w:fill="FFFFFF"/>
                    </w:rPr>
                    <w:t>Managing staff while ensuring departmental alignment with overall business objectives of the organization;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Reviews the team’s financial entries and ensures proper supporting documentation is maintained;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Leading and performing accurate monthly and year-end closing of accounts on timely basis;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Ensuring that the monthly and year-end accounts reconciliations are duly performed;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Responsible for preparation and review of Bank Reconciliations;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Responsible for Reports, making analysis and ensuring the integrity of all financial information;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Making coordination with external auditors for annual audit works;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Processing and reviewing salary process;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t>Assisting in production of business long term plans, and budgets and financial management;</w:t>
                  </w:r>
                </w:p>
                <w:p w:rsidR="002563F1" w:rsidRPr="00DE665D" w:rsidRDefault="002563F1" w:rsidP="002563F1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after="0" w:line="240" w:lineRule="auto"/>
                    <w:jc w:val="left"/>
                    <w:textAlignment w:val="baseline"/>
                    <w:rPr>
                      <w:rFonts w:ascii="Arial" w:eastAsia="Times New Roman" w:hAnsi="Arial" w:cs="Arial"/>
                      <w:color w:val="595959" w:themeColor="text1" w:themeTint="A6"/>
                    </w:rPr>
                  </w:pPr>
                  <w:r w:rsidRPr="00DE665D">
                    <w:rPr>
                      <w:rFonts w:ascii="Arial" w:eastAsia="Times New Roman" w:hAnsi="Arial" w:cs="Arial"/>
                      <w:color w:val="595959" w:themeColor="text1" w:themeTint="A6"/>
                    </w:rPr>
                    <w:lastRenderedPageBreak/>
                    <w:t>Controlling Income, Cash Flows and Expenditures;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010"/>
                    <w:gridCol w:w="5004"/>
                  </w:tblGrid>
                  <w:tr w:rsidR="002563F1" w:rsidRPr="00DE665D" w:rsidTr="002054C6">
                    <w:tc>
                      <w:tcPr>
                        <w:tcW w:w="5010" w:type="dxa"/>
                      </w:tcPr>
                      <w:p w:rsidR="002563F1" w:rsidRPr="00DE665D" w:rsidRDefault="002563F1" w:rsidP="002054C6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proofErr w:type="spellStart"/>
                        <w:r w:rsidRPr="00DE665D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Zulfiqar</w:t>
                        </w:r>
                        <w:proofErr w:type="spellEnd"/>
                        <w:r w:rsidRPr="00DE665D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 xml:space="preserve"> Ahmad &amp; Co Chartered Accountants</w:t>
                        </w:r>
                      </w:p>
                      <w:p w:rsidR="002563F1" w:rsidRPr="00DE665D" w:rsidRDefault="002563F1" w:rsidP="002054C6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DE665D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Member firm of INAA Group International</w:t>
                        </w:r>
                      </w:p>
                    </w:tc>
                    <w:tc>
                      <w:tcPr>
                        <w:tcW w:w="5004" w:type="dxa"/>
                      </w:tcPr>
                      <w:p w:rsidR="002563F1" w:rsidRPr="00DE665D" w:rsidRDefault="002563F1" w:rsidP="002054C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DE665D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 xml:space="preserve">              </w:t>
                        </w:r>
                      </w:p>
                    </w:tc>
                  </w:tr>
                  <w:tr w:rsidR="002563F1" w:rsidRPr="00621E41" w:rsidTr="002054C6">
                    <w:tc>
                      <w:tcPr>
                        <w:tcW w:w="5010" w:type="dxa"/>
                      </w:tcPr>
                      <w:p w:rsidR="002563F1" w:rsidRPr="00621E41" w:rsidRDefault="002563F1" w:rsidP="002054C6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 xml:space="preserve">Associate Audit &amp; Assurance </w:t>
                        </w:r>
                      </w:p>
                      <w:p w:rsidR="002563F1" w:rsidRPr="00621E41" w:rsidRDefault="002563F1" w:rsidP="002054C6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i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i/>
                            <w:color w:val="595959" w:themeColor="text1" w:themeTint="A6"/>
                          </w:rPr>
                          <w:t>Major Roles;</w:t>
                        </w:r>
                      </w:p>
                    </w:tc>
                    <w:tc>
                      <w:tcPr>
                        <w:tcW w:w="5004" w:type="dxa"/>
                      </w:tcPr>
                      <w:p w:rsidR="002563F1" w:rsidRPr="00621E41" w:rsidRDefault="002563F1" w:rsidP="002054C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Reporting to: Manager Audit &amp; Assurance</w:t>
                        </w:r>
                      </w:p>
                      <w:p w:rsidR="002563F1" w:rsidRPr="00621E41" w:rsidRDefault="002563F1" w:rsidP="002054C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January 2012 to August 2015</w:t>
                        </w:r>
                      </w:p>
                    </w:tc>
                  </w:tr>
                  <w:tr w:rsidR="002563F1" w:rsidRPr="00621E41" w:rsidTr="002054C6">
                    <w:trPr>
                      <w:trHeight w:val="315"/>
                    </w:trPr>
                    <w:tc>
                      <w:tcPr>
                        <w:tcW w:w="10014" w:type="dxa"/>
                        <w:gridSpan w:val="2"/>
                      </w:tcPr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Preparation, examination, analysis and review of Financial Statements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including cash flow statements for different clients;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Conduct audit planning and making grounds for analysis of client’s financial position and financial performance; 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Assign work to the team members and supervise their work;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Understanding and evaluation of client’s accounting and business systems including control environment by observing and meeting to different personals and by visiting client’s premises;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Perform detailed test of controls and substantive procedures;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Verify on test basis all the items of P&amp; L and Balance Sheet;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Perform variance analysis and investigate reasons for the major variances;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Circularize balance confirmations to banks, suppliers and debtors of clients;</w:t>
                        </w:r>
                      </w:p>
                      <w:p w:rsidR="002563F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Prepare fixed assets register of companies;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Preparing fixed assets register for companies;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Prepare adjusting entries for the client and posted to the client’s accounting software;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Conduct half yearly review of the financial statements of listed companies;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Plan, organize the internal audit by estimating the resources, scheduling and assigning work;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Perform the preliminary survey of operations, functions and activities to have an information on key business risks;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Evaluate the adequacy of internal control system plugged in to confront those risks;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Check the effectiveness of internal control system and identify control weaknesses;</w:t>
                        </w:r>
                      </w:p>
                      <w:p w:rsidR="002563F1" w:rsidRPr="00621E41" w:rsidRDefault="002563F1" w:rsidP="002563F1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before="0" w:after="0" w:line="240" w:lineRule="auto"/>
                          <w:jc w:val="left"/>
                          <w:textAlignment w:val="baseline"/>
                          <w:rPr>
                            <w:rFonts w:ascii="Arial" w:eastAsia="Times New Roman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Report the key control weaknesses to the management with risk qualification and corrective measures</w:t>
                        </w:r>
                        <w:r>
                          <w:rPr>
                            <w:rFonts w:ascii="Arial" w:hAnsi="Arial" w:cs="Arial"/>
                            <w:color w:val="595959" w:themeColor="text1" w:themeTint="A6"/>
                          </w:rPr>
                          <w:t>;</w:t>
                        </w:r>
                        <w:bookmarkStart w:id="0" w:name="_GoBack"/>
                        <w:bookmarkEnd w:id="0"/>
                      </w:p>
                      <w:p w:rsidR="002563F1" w:rsidRPr="00621E41" w:rsidRDefault="002563F1" w:rsidP="002054C6">
                        <w:p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eastAsia="Times New Roman" w:hAnsi="Arial" w:cs="Arial"/>
                            <w:b/>
                            <w:color w:val="595959" w:themeColor="text1" w:themeTint="A6"/>
                          </w:rPr>
                          <w:t>GST/VAT and Income Tax: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Tax Planning and Evaluation of Tax Implications;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Responsible for preparation, review and submitting Income Tax and Sales Tax/VAT returns, WHT Statements and other tax issues including correspondence with Federal and Provincial Tax Authorities;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Applying new registrations, changes in particulars, incorporations and various compliances as per requirements of Taxation Laws;</w:t>
                        </w:r>
                      </w:p>
                      <w:p w:rsidR="002563F1" w:rsidRPr="00621E41" w:rsidRDefault="002563F1" w:rsidP="002563F1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before="0" w:after="0" w:line="240" w:lineRule="auto"/>
                          <w:jc w:val="left"/>
                          <w:textAlignment w:val="baseline"/>
                          <w:rPr>
                            <w:rFonts w:ascii="Arial" w:eastAsia="Times New Roman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  <w:shd w:val="clear" w:color="auto" w:fill="FFFFFF"/>
                          </w:rPr>
                          <w:t>Employees’ salaries restructuring  for Income Tax purposes;</w:t>
                        </w:r>
                      </w:p>
                      <w:p w:rsidR="002563F1" w:rsidRPr="00621E41" w:rsidRDefault="002563F1" w:rsidP="002563F1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before="0" w:after="0" w:line="240" w:lineRule="auto"/>
                          <w:jc w:val="left"/>
                          <w:textAlignment w:val="baseline"/>
                          <w:rPr>
                            <w:rFonts w:ascii="Arial" w:eastAsia="Times New Roman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  <w:shd w:val="clear" w:color="auto" w:fill="FFFFFF"/>
                          </w:rPr>
                          <w:t>Obtained the tax exemptions under Income Tax Ordinance 2001 from Federal Board of Revenue</w:t>
                        </w:r>
                      </w:p>
                      <w:p w:rsidR="002563F1" w:rsidRPr="00621E41" w:rsidRDefault="002563F1" w:rsidP="002563F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700"/>
                          </w:tabs>
                          <w:spacing w:before="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Making correspondence with Sales Tax and Income Tax Authorities in compliance of various notices under the statutory provisions of Taxation Laws;</w:t>
                        </w:r>
                      </w:p>
                      <w:p w:rsidR="002563F1" w:rsidRPr="00621E41" w:rsidRDefault="002563F1" w:rsidP="002563F1">
                        <w:pPr>
                          <w:numPr>
                            <w:ilvl w:val="0"/>
                            <w:numId w:val="8"/>
                          </w:numPr>
                          <w:shd w:val="clear" w:color="auto" w:fill="FFFFFF"/>
                          <w:spacing w:before="0" w:after="0" w:line="240" w:lineRule="auto"/>
                          <w:jc w:val="left"/>
                          <w:textAlignment w:val="baseline"/>
                          <w:rPr>
                            <w:rFonts w:ascii="Arial" w:eastAsia="Times New Roman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  <w:shd w:val="clear" w:color="auto" w:fill="FFFFFF"/>
                          </w:rPr>
                          <w:t>Liaising with Tax Officials during conducting audit of Income Tax &amp; Sales Tax.</w:t>
                        </w:r>
                      </w:p>
                    </w:tc>
                  </w:tr>
                </w:tbl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563F1" w:rsidRPr="00621E41" w:rsidTr="002054C6">
        <w:tc>
          <w:tcPr>
            <w:tcW w:w="10466" w:type="dxa"/>
            <w:gridSpan w:val="2"/>
          </w:tcPr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Professional Developments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10008"/>
                    <w:gridCol w:w="222"/>
                  </w:tblGrid>
                  <w:tr w:rsidR="002563F1" w:rsidRPr="00621E41" w:rsidTr="002054C6">
                    <w:tc>
                      <w:tcPr>
                        <w:tcW w:w="5676" w:type="dxa"/>
                      </w:tcPr>
                      <w:tbl>
                        <w:tblPr>
                          <w:tblW w:w="10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00"/>
                        </w:tblGrid>
                        <w:tr w:rsidR="002563F1" w:rsidRPr="00621E41" w:rsidTr="002054C6">
                          <w:trPr>
                            <w:trHeight w:val="294"/>
                          </w:trPr>
                          <w:tc>
                            <w:tcPr>
                              <w:tcW w:w="10000" w:type="dxa"/>
                              <w:vAlign w:val="bottom"/>
                              <w:hideMark/>
                            </w:tcPr>
                            <w:p w:rsidR="002563F1" w:rsidRPr="00621E41" w:rsidRDefault="002563F1" w:rsidP="002563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80"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621E41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Presentation Skills Training Course (PSTC) – 100 hours</w:t>
                              </w:r>
                            </w:p>
                            <w:p w:rsidR="002563F1" w:rsidRPr="00621E41" w:rsidRDefault="002563F1" w:rsidP="002563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80"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621E41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 xml:space="preserve">Various Workshops and Seminars on Audit and Taxation, IAS and IFRSs </w:t>
                              </w:r>
                            </w:p>
                          </w:tc>
                        </w:tr>
                        <w:tr w:rsidR="002563F1" w:rsidRPr="00621E41" w:rsidTr="002054C6">
                          <w:trPr>
                            <w:trHeight w:val="288"/>
                          </w:trPr>
                          <w:tc>
                            <w:tcPr>
                              <w:tcW w:w="10000" w:type="dxa"/>
                              <w:vAlign w:val="bottom"/>
                              <w:hideMark/>
                            </w:tcPr>
                            <w:p w:rsidR="002563F1" w:rsidRPr="00621E41" w:rsidRDefault="002563F1" w:rsidP="002563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80" w:after="0" w:line="240" w:lineRule="auto"/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</w:pPr>
                              <w:r w:rsidRPr="00621E41"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t>Computer Practical Training Course (CCPT) – 90 hours</w:t>
                              </w:r>
                            </w:p>
                          </w:tc>
                        </w:tr>
                      </w:tbl>
                      <w:p w:rsidR="002563F1" w:rsidRPr="00621E41" w:rsidRDefault="002563F1" w:rsidP="002054C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4338" w:type="dxa"/>
                      </w:tcPr>
                      <w:p w:rsidR="002563F1" w:rsidRPr="00621E41" w:rsidRDefault="002563F1" w:rsidP="002054C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Accounting Software’s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2563F1" w:rsidRPr="00621E41" w:rsidTr="002054C6">
                    <w:tc>
                      <w:tcPr>
                        <w:tcW w:w="2145" w:type="dxa"/>
                      </w:tcPr>
                      <w:p w:rsidR="002563F1" w:rsidRPr="00621E41" w:rsidRDefault="002563F1" w:rsidP="002054C6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SAP B-1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2563F1" w:rsidRPr="00621E41" w:rsidRDefault="002563F1" w:rsidP="002054C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                             </w:t>
                        </w: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Tally ERP                                 Sage</w:t>
                        </w:r>
                      </w:p>
                    </w:tc>
                  </w:tr>
                  <w:tr w:rsidR="002563F1" w:rsidRPr="00621E41" w:rsidTr="002054C6">
                    <w:tc>
                      <w:tcPr>
                        <w:tcW w:w="2145" w:type="dxa"/>
                      </w:tcPr>
                      <w:p w:rsidR="002563F1" w:rsidRPr="00621E41" w:rsidRDefault="002563F1" w:rsidP="002054C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E.R.P.S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2563F1" w:rsidRPr="00621E41" w:rsidRDefault="002563F1" w:rsidP="002054C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                              </w:t>
                        </w:r>
                        <w:r w:rsidRPr="00621E41"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  <w:t>QuickBooks                             Peachtree</w:t>
                        </w:r>
                      </w:p>
                    </w:tc>
                  </w:tr>
                </w:tbl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Activities and Interests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2563F1" w:rsidRPr="00621E41" w:rsidTr="002054C6">
                    <w:tc>
                      <w:tcPr>
                        <w:tcW w:w="2145" w:type="dxa"/>
                      </w:tcPr>
                      <w:p w:rsidR="002563F1" w:rsidRPr="00621E41" w:rsidRDefault="002563F1" w:rsidP="002054C6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2563F1" w:rsidRPr="00621E41" w:rsidRDefault="002563F1" w:rsidP="002054C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Cricket, F.B, Online chatting, online movies,  </w:t>
                        </w:r>
                      </w:p>
                    </w:tc>
                  </w:tr>
                </w:tbl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563F1" w:rsidRPr="00621E41" w:rsidTr="002054C6">
        <w:tc>
          <w:tcPr>
            <w:tcW w:w="10466" w:type="dxa"/>
            <w:gridSpan w:val="2"/>
          </w:tcPr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2563F1" w:rsidRPr="00621E41" w:rsidTr="002054C6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  <w:r w:rsidRPr="00621E41"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  <w:t>Languages</w:t>
                  </w:r>
                </w:p>
              </w:tc>
            </w:tr>
            <w:tr w:rsidR="002563F1" w:rsidRPr="00621E41" w:rsidTr="002054C6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2563F1" w:rsidRPr="00621E41" w:rsidTr="002054C6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2563F1" w:rsidRPr="00621E41" w:rsidRDefault="002563F1" w:rsidP="002054C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 xml:space="preserve">Punjabi </w:t>
                        </w:r>
                        <w:r w:rsidRPr="00621E41"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563F1" w:rsidRPr="00621E41" w:rsidRDefault="002563F1" w:rsidP="002054C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 xml:space="preserve">Urdu </w:t>
                        </w:r>
                        <w:r w:rsidRPr="00621E41"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(fluent)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2563F1" w:rsidRPr="00621E41" w:rsidRDefault="002563F1" w:rsidP="002054C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621E41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 xml:space="preserve">English </w:t>
                        </w:r>
                        <w:r w:rsidRPr="00621E41">
                          <w:rPr>
                            <w:rFonts w:ascii="Arial" w:hAnsi="Arial" w:cs="Arial"/>
                            <w:bCs/>
                            <w:color w:val="595959" w:themeColor="text1" w:themeTint="A6"/>
                          </w:rPr>
                          <w:t>(basic)</w:t>
                        </w:r>
                      </w:p>
                    </w:tc>
                  </w:tr>
                </w:tbl>
                <w:p w:rsidR="002563F1" w:rsidRPr="00621E41" w:rsidRDefault="002563F1" w:rsidP="002054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 w:themeColor="text1" w:themeTint="A6"/>
                    </w:rPr>
                  </w:pPr>
                </w:p>
              </w:tc>
            </w:tr>
          </w:tbl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563F1" w:rsidRPr="00621E41" w:rsidTr="002054C6">
        <w:tc>
          <w:tcPr>
            <w:tcW w:w="10466" w:type="dxa"/>
            <w:gridSpan w:val="2"/>
          </w:tcPr>
          <w:p w:rsidR="002563F1" w:rsidRPr="00621E41" w:rsidRDefault="002563F1" w:rsidP="002054C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2563F1" w:rsidRPr="00621E41" w:rsidRDefault="002563F1" w:rsidP="002563F1">
      <w:pPr>
        <w:rPr>
          <w:rFonts w:ascii="Arial" w:hAnsi="Arial" w:cs="Arial"/>
          <w:color w:val="595959" w:themeColor="text1" w:themeTint="A6"/>
        </w:rPr>
      </w:pPr>
    </w:p>
    <w:p w:rsidR="00A85B34" w:rsidRDefault="00A85B34"/>
    <w:sectPr w:rsidR="00A85B34" w:rsidSect="00F110C5">
      <w:pgSz w:w="11906" w:h="16838"/>
      <w:pgMar w:top="189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BF2"/>
    <w:multiLevelType w:val="hybridMultilevel"/>
    <w:tmpl w:val="7284B02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090AEC"/>
    <w:multiLevelType w:val="hybridMultilevel"/>
    <w:tmpl w:val="56FC5F2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42030"/>
    <w:multiLevelType w:val="hybridMultilevel"/>
    <w:tmpl w:val="EDB85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2C8E"/>
    <w:multiLevelType w:val="hybridMultilevel"/>
    <w:tmpl w:val="828E1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60721"/>
    <w:multiLevelType w:val="hybridMultilevel"/>
    <w:tmpl w:val="5DB0B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3936"/>
    <w:multiLevelType w:val="hybridMultilevel"/>
    <w:tmpl w:val="1924CA4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FA4EB3"/>
    <w:multiLevelType w:val="hybridMultilevel"/>
    <w:tmpl w:val="D96A3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B2A8A"/>
    <w:multiLevelType w:val="hybridMultilevel"/>
    <w:tmpl w:val="39469B7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3B37357"/>
    <w:multiLevelType w:val="hybridMultilevel"/>
    <w:tmpl w:val="4CE20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563F1"/>
    <w:rsid w:val="00157ED9"/>
    <w:rsid w:val="002563F1"/>
    <w:rsid w:val="003044D5"/>
    <w:rsid w:val="004B280C"/>
    <w:rsid w:val="009610F6"/>
    <w:rsid w:val="00A85B34"/>
    <w:rsid w:val="00E8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F1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m.3754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2017-12-22T14:58:00Z</dcterms:created>
  <dcterms:modified xsi:type="dcterms:W3CDTF">2017-12-22T14:58:00Z</dcterms:modified>
</cp:coreProperties>
</file>