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7E" w:rsidRDefault="00EB0A0C">
      <w:pPr>
        <w:pBdr>
          <w:bottom w:val="single" w:sz="12" w:space="1" w:color="auto"/>
        </w:pBdr>
        <w:jc w:val="both"/>
        <w:rPr>
          <w:rStyle w:val="SubtleReference"/>
          <w:rFonts w:ascii="Times New Roman" w:hAnsi="Times New Roman" w:cs="Times New Roman"/>
          <w:b/>
          <w:bCs/>
          <w:sz w:val="48"/>
          <w:szCs w:val="40"/>
          <w:u w:val="thick"/>
        </w:rPr>
      </w:pPr>
      <w:r>
        <w:rPr>
          <w:rStyle w:val="SubtleReference"/>
          <w:rFonts w:ascii="Times New Roman" w:hAnsi="Times New Roman" w:cs="Times New Roman"/>
          <w:b/>
          <w:bCs/>
          <w:sz w:val="48"/>
          <w:szCs w:val="40"/>
          <w:u w:val="thick"/>
        </w:rPr>
        <w:t>Curriculum Vitae</w:t>
      </w:r>
    </w:p>
    <w:p w:rsidR="00E30D7E" w:rsidRDefault="00EB0A0C">
      <w:pPr>
        <w:pBdr>
          <w:bottom w:val="single" w:sz="12" w:space="1" w:color="auto"/>
        </w:pBdr>
        <w:jc w:val="both"/>
        <w:rPr>
          <w:rStyle w:val="SubtleReference"/>
          <w:rFonts w:ascii="Times New Roman" w:hAnsi="Times New Roman" w:cs="Times New Roman"/>
          <w:b/>
          <w:bCs/>
          <w:color w:val="auto"/>
          <w:sz w:val="40"/>
          <w:szCs w:val="40"/>
        </w:rPr>
      </w:pPr>
      <w:proofErr w:type="spellStart"/>
      <w:r>
        <w:rPr>
          <w:rStyle w:val="SubtleReference"/>
          <w:rFonts w:ascii="Times New Roman" w:hAnsi="Times New Roman" w:cs="Times New Roman"/>
          <w:b/>
          <w:bCs/>
          <w:color w:val="auto"/>
          <w:sz w:val="40"/>
          <w:szCs w:val="40"/>
        </w:rPr>
        <w:t>Hemanshu</w:t>
      </w:r>
      <w:proofErr w:type="spellEnd"/>
      <w:r>
        <w:rPr>
          <w:rStyle w:val="SubtleReference"/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</w:p>
    <w:p w:rsidR="00E30D7E" w:rsidRDefault="00EB0A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E6A87" w:rsidRPr="00CE6A8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CE6A87" w:rsidRPr="00CE6A87">
        <w:rPr>
          <w:rFonts w:ascii="Times New Roman" w:hAnsi="Times New Roman" w:cs="Times New Roman"/>
          <w:sz w:val="24"/>
          <w:szCs w:val="24"/>
        </w:rPr>
        <w:t xml:space="preserve"> +971504753686 / +919979971283</w:t>
      </w:r>
    </w:p>
    <w:p w:rsidR="00E30D7E" w:rsidRDefault="00EB0A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CE6A87" w:rsidRPr="002C0735">
          <w:rPr>
            <w:rStyle w:val="Hyperlink"/>
            <w:rFonts w:ascii="Times New Roman" w:hAnsi="Times New Roman"/>
            <w:sz w:val="24"/>
            <w:szCs w:val="24"/>
          </w:rPr>
          <w:t>hemanshu.376092@2freemail.co</w:t>
        </w:r>
        <w:r w:rsidR="00CE6A87" w:rsidRPr="002C0735">
          <w:rPr>
            <w:rStyle w:val="Hyperlink"/>
            <w:rFonts w:cstheme="minorBidi"/>
          </w:rPr>
          <w:t>m</w:t>
        </w:r>
      </w:hyperlink>
      <w:r w:rsidR="00CE6A87"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D7E" w:rsidRDefault="00EB0A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27th November, 1991.</w:t>
      </w:r>
    </w:p>
    <w:p w:rsidR="00E30D7E" w:rsidRDefault="00E30D7E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D7E" w:rsidRDefault="00E30D7E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0D7E" w:rsidRDefault="00EB0A0C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Career Goals</w:t>
      </w:r>
    </w:p>
    <w:p w:rsidR="00E30D7E" w:rsidRDefault="00EB0A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associated with a progressive organization that provides an opportunity to apply my knowledge and skills in order to improve my exposure and to progress gradually in</w:t>
      </w:r>
      <w:r>
        <w:rPr>
          <w:rFonts w:ascii="Times New Roman" w:hAnsi="Times New Roman" w:cs="Times New Roman"/>
          <w:sz w:val="24"/>
          <w:szCs w:val="24"/>
        </w:rPr>
        <w:t xml:space="preserve"> my professional career.</w:t>
      </w:r>
    </w:p>
    <w:p w:rsidR="00E30D7E" w:rsidRDefault="00E30D7E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0D7E" w:rsidRDefault="00E30D7E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pPr w:leftFromText="180" w:rightFromText="180" w:vertAnchor="text" w:horzAnchor="margin" w:tblpX="853" w:tblpY="576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20"/>
        <w:gridCol w:w="2700"/>
        <w:gridCol w:w="2283"/>
        <w:gridCol w:w="1462"/>
      </w:tblGrid>
      <w:tr w:rsidR="00E30D7E">
        <w:trPr>
          <w:trHeight w:val="431"/>
        </w:trPr>
        <w:tc>
          <w:tcPr>
            <w:tcW w:w="2220" w:type="dxa"/>
            <w:shd w:val="pct12" w:color="auto" w:fill="FFFFFF"/>
            <w:vAlign w:val="center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Qualifications</w:t>
            </w:r>
          </w:p>
          <w:p w:rsidR="00E30D7E" w:rsidRDefault="00E30D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shd w:val="pct12" w:color="auto" w:fill="FFFFFF"/>
            <w:vAlign w:val="center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University/Institute</w:t>
            </w:r>
          </w:p>
          <w:p w:rsidR="00E30D7E" w:rsidRDefault="00E30D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83" w:type="dxa"/>
            <w:shd w:val="pct12" w:color="auto" w:fill="FFFFFF"/>
            <w:vAlign w:val="center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Year</w:t>
            </w:r>
          </w:p>
          <w:p w:rsidR="00E30D7E" w:rsidRDefault="00E30D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62" w:type="dxa"/>
            <w:shd w:val="pct12" w:color="auto" w:fill="FFFFFF"/>
            <w:vAlign w:val="center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fr-F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val="fr-FR"/>
              </w:rPr>
              <w:t>Percentage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lang w:val="fr-FR"/>
              </w:rPr>
              <w:t xml:space="preserve"> Score</w:t>
            </w:r>
          </w:p>
          <w:p w:rsidR="00E30D7E" w:rsidRDefault="00E30D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fr-FR"/>
              </w:rPr>
            </w:pPr>
          </w:p>
        </w:tc>
      </w:tr>
      <w:tr w:rsidR="00E30D7E">
        <w:trPr>
          <w:trHeight w:val="447"/>
        </w:trPr>
        <w:tc>
          <w:tcPr>
            <w:tcW w:w="222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 - Final – Group II</w:t>
            </w:r>
          </w:p>
          <w:p w:rsidR="00E30D7E" w:rsidRDefault="00E30D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Institute Of Chartered Accountants of India (ICAI)</w:t>
            </w:r>
          </w:p>
        </w:tc>
        <w:tc>
          <w:tcPr>
            <w:tcW w:w="2283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May,2016</w:t>
            </w:r>
          </w:p>
        </w:tc>
        <w:tc>
          <w:tcPr>
            <w:tcW w:w="1462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247/400</w:t>
            </w:r>
          </w:p>
        </w:tc>
      </w:tr>
      <w:tr w:rsidR="00E30D7E">
        <w:trPr>
          <w:trHeight w:val="447"/>
        </w:trPr>
        <w:tc>
          <w:tcPr>
            <w:tcW w:w="222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 - Final – Group I</w:t>
            </w:r>
          </w:p>
          <w:p w:rsidR="00E30D7E" w:rsidRDefault="00E30D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Institute Of Chartered Accountants of India (ICAI)</w:t>
            </w:r>
          </w:p>
        </w:tc>
        <w:tc>
          <w:tcPr>
            <w:tcW w:w="2283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November,2015</w:t>
            </w:r>
          </w:p>
        </w:tc>
        <w:tc>
          <w:tcPr>
            <w:tcW w:w="1462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201/400</w:t>
            </w:r>
          </w:p>
        </w:tc>
      </w:tr>
      <w:tr w:rsidR="00E30D7E">
        <w:trPr>
          <w:trHeight w:val="447"/>
        </w:trPr>
        <w:tc>
          <w:tcPr>
            <w:tcW w:w="222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 – IPCC</w:t>
            </w:r>
          </w:p>
        </w:tc>
        <w:tc>
          <w:tcPr>
            <w:tcW w:w="270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Institute Of Chartered Accountants of India (ICAI)</w:t>
            </w:r>
          </w:p>
        </w:tc>
        <w:tc>
          <w:tcPr>
            <w:tcW w:w="2283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November,2013</w:t>
            </w:r>
          </w:p>
        </w:tc>
        <w:tc>
          <w:tcPr>
            <w:tcW w:w="1462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390/700</w:t>
            </w:r>
          </w:p>
          <w:p w:rsidR="00E30D7E" w:rsidRDefault="00E30D7E">
            <w:pPr>
              <w:spacing w:after="0" w:line="276" w:lineRule="auto"/>
              <w:ind w:left="-2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D7E">
        <w:trPr>
          <w:trHeight w:val="447"/>
        </w:trPr>
        <w:tc>
          <w:tcPr>
            <w:tcW w:w="222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B.C.A.F.</w:t>
            </w:r>
          </w:p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Bachelor of Commerce (Accounting &amp; Finance)</w:t>
            </w:r>
          </w:p>
        </w:tc>
        <w:tc>
          <w:tcPr>
            <w:tcW w:w="270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Viva College, Mumbai University</w:t>
            </w:r>
          </w:p>
        </w:tc>
        <w:tc>
          <w:tcPr>
            <w:tcW w:w="2283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462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84%</w:t>
            </w:r>
          </w:p>
          <w:p w:rsidR="00E30D7E" w:rsidRDefault="00E30D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D7E">
        <w:trPr>
          <w:trHeight w:val="447"/>
        </w:trPr>
        <w:tc>
          <w:tcPr>
            <w:tcW w:w="222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HSC : Class XII</w:t>
            </w:r>
          </w:p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fr-FR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>Maharashtra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>Board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270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Utkarsha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Vidyalaya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Junior College, Mumbai</w:t>
            </w:r>
          </w:p>
        </w:tc>
        <w:tc>
          <w:tcPr>
            <w:tcW w:w="2283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1462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65%</w:t>
            </w:r>
          </w:p>
        </w:tc>
      </w:tr>
      <w:tr w:rsidR="00E30D7E">
        <w:trPr>
          <w:trHeight w:val="447"/>
        </w:trPr>
        <w:tc>
          <w:tcPr>
            <w:tcW w:w="2220" w:type="dxa"/>
          </w:tcPr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fr-FR"/>
              </w:rPr>
              <w:t>SSC : Class X</w:t>
            </w:r>
          </w:p>
          <w:p w:rsidR="00E30D7E" w:rsidRDefault="00EB0A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>Maharashtra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>Board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2700" w:type="dxa"/>
          </w:tcPr>
          <w:p w:rsidR="00E30D7E" w:rsidRDefault="00EB0A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M.G.M. High School, Mumbai</w:t>
            </w:r>
          </w:p>
          <w:p w:rsidR="00E30D7E" w:rsidRDefault="00E30D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3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1462" w:type="dxa"/>
          </w:tcPr>
          <w:p w:rsidR="00E30D7E" w:rsidRDefault="00EB0A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63%</w:t>
            </w:r>
          </w:p>
        </w:tc>
      </w:tr>
    </w:tbl>
    <w:p w:rsidR="00E30D7E" w:rsidRDefault="00EB0A0C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Educational Qualifications</w:t>
      </w:r>
    </w:p>
    <w:p w:rsidR="00E30D7E" w:rsidRDefault="00E30D7E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30D7E" w:rsidRDefault="00E30D7E">
      <w:pPr>
        <w:pStyle w:val="ListParagraph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E30D7E" w:rsidRDefault="00E30D7E">
      <w:pPr>
        <w:pStyle w:val="ListParagraph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30D7E" w:rsidRDefault="00EB0A0C">
      <w:pPr>
        <w:tabs>
          <w:tab w:val="left" w:pos="1250"/>
        </w:tabs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ab/>
      </w:r>
    </w:p>
    <w:p w:rsidR="00E30D7E" w:rsidRDefault="00E30D7E">
      <w:pPr>
        <w:tabs>
          <w:tab w:val="left" w:pos="5505"/>
        </w:tabs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30D7E" w:rsidRDefault="00EB0A0C">
      <w:pPr>
        <w:pStyle w:val="ListParagraph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br w:type="page"/>
      </w:r>
    </w:p>
    <w:p w:rsidR="00E30D7E" w:rsidRDefault="00EB0A0C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lastRenderedPageBreak/>
        <w:t>Work Experience</w:t>
      </w:r>
    </w:p>
    <w:p w:rsidR="00E30D7E" w:rsidRDefault="00EB0A0C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Assistant Manager with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Motilal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Oswal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Financial Securities Limited at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Elphinstone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Road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Mumbai (August 2016 – Present)</w:t>
      </w:r>
    </w:p>
    <w:p w:rsidR="00E30D7E" w:rsidRDefault="00E30D7E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0D7E" w:rsidRDefault="00EB0A0C">
      <w:pPr>
        <w:pStyle w:val="ListParagraph"/>
        <w:numPr>
          <w:ilvl w:val="1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Key responsibility area :</w:t>
      </w:r>
    </w:p>
    <w:p w:rsidR="00E30D7E" w:rsidRDefault="00E30D7E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30D7E" w:rsidRDefault="00EB0A0C">
      <w:pPr>
        <w:pStyle w:val="ListParagraph"/>
        <w:numPr>
          <w:ilvl w:val="2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Consolidated Financial Statement</w:t>
      </w:r>
    </w:p>
    <w:p w:rsidR="00E30D7E" w:rsidRDefault="00EB0A0C">
      <w:pPr>
        <w:pStyle w:val="ListParagraph"/>
        <w:numPr>
          <w:ilvl w:val="3"/>
          <w:numId w:val="13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bCs/>
          <w:iCs/>
          <w:sz w:val="24"/>
          <w:szCs w:val="24"/>
        </w:rPr>
        <w:t>Monthly preparation of Financial statement for management reporting with variance analysis and Quarterly reporting for Limited Review and getting audited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with unqualified report .</w:t>
      </w:r>
    </w:p>
    <w:p w:rsidR="00E30D7E" w:rsidRDefault="00E30D7E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Segment reporting</w:t>
      </w:r>
    </w:p>
    <w:p w:rsidR="00E30D7E" w:rsidRDefault="00EB0A0C">
      <w:pPr>
        <w:pStyle w:val="ListParagraph"/>
        <w:numPr>
          <w:ilvl w:val="3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bCs/>
          <w:iCs/>
          <w:sz w:val="24"/>
          <w:szCs w:val="24"/>
        </w:rPr>
        <w:t>Quarterly preparation of Segment reporting for Limited Review</w:t>
      </w:r>
    </w:p>
    <w:p w:rsidR="00E30D7E" w:rsidRDefault="00E30D7E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Departmental provision and variance analysis</w:t>
      </w:r>
    </w:p>
    <w:p w:rsidR="00E30D7E" w:rsidRDefault="00EB0A0C">
      <w:pPr>
        <w:pStyle w:val="ListParagraph"/>
        <w:numPr>
          <w:ilvl w:val="3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Monthly preparation of provision for the group companies by coordinating with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various departmental owners and finalizing the numbers for the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financials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statements.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30D7E" w:rsidRDefault="00E30D7E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Internal financial controls</w:t>
      </w:r>
    </w:p>
    <w:p w:rsidR="00E30D7E" w:rsidRDefault="00EB0A0C">
      <w:pPr>
        <w:pStyle w:val="ListParagraph"/>
        <w:numPr>
          <w:ilvl w:val="3"/>
          <w:numId w:val="13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Objective: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Preparing, identifying, evaluating, and classifying the internal control assessment for the group on half yearly basis. Eliminati</w:t>
      </w:r>
      <w:r>
        <w:rPr>
          <w:rFonts w:ascii="Times New Roman" w:hAnsi="Times New Roman" w:cs="Times New Roman"/>
          <w:bCs/>
          <w:iCs/>
          <w:sz w:val="24"/>
          <w:szCs w:val="24"/>
        </w:rPr>
        <w:t>ng the deficiencies, risks identified in the existing process, work and data flow in organization.</w:t>
      </w:r>
    </w:p>
    <w:p w:rsidR="00E30D7E" w:rsidRDefault="00E30D7E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0"/>
          <w:numId w:val="13"/>
        </w:numPr>
        <w:tabs>
          <w:tab w:val="left" w:pos="270"/>
          <w:tab w:val="left" w:pos="72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Industrial Training with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Motilal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Oswal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Financial Securities Limited at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Elphinstone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Road Mumbai (February, 2015-February 2016)</w:t>
      </w:r>
    </w:p>
    <w:p w:rsidR="00E30D7E" w:rsidRDefault="00EB0A0C">
      <w:pPr>
        <w:pStyle w:val="ListParagraph"/>
        <w:numPr>
          <w:ilvl w:val="1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Key responsibility area :</w:t>
      </w:r>
    </w:p>
    <w:p w:rsidR="00E30D7E" w:rsidRDefault="00E30D7E">
      <w:pPr>
        <w:pStyle w:val="ListParagraph"/>
        <w:spacing w:after="120" w:line="240" w:lineRule="auto"/>
        <w:ind w:left="180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30D7E" w:rsidRDefault="00EB0A0C">
      <w:pPr>
        <w:pStyle w:val="ListParagraph"/>
        <w:numPr>
          <w:ilvl w:val="2"/>
          <w:numId w:val="13"/>
        </w:numPr>
        <w:tabs>
          <w:tab w:val="left" w:pos="270"/>
          <w:tab w:val="left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Service tax Scrutiny</w:t>
      </w:r>
    </w:p>
    <w:p w:rsidR="00E30D7E" w:rsidRDefault="00EB0A0C">
      <w:pPr>
        <w:pStyle w:val="ListParagraph"/>
        <w:numPr>
          <w:ilvl w:val="3"/>
          <w:numId w:val="13"/>
        </w:numPr>
        <w:tabs>
          <w:tab w:val="left" w:pos="270"/>
          <w:tab w:val="left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Objective: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Preparation of data for five years for scrutiny.</w:t>
      </w:r>
    </w:p>
    <w:p w:rsidR="00E30D7E" w:rsidRDefault="00E30D7E">
      <w:pPr>
        <w:pStyle w:val="ListParagraph"/>
        <w:tabs>
          <w:tab w:val="left" w:pos="270"/>
          <w:tab w:val="left" w:pos="72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Segment Reporting</w:t>
      </w:r>
    </w:p>
    <w:p w:rsidR="00E30D7E" w:rsidRDefault="00EB0A0C">
      <w:pPr>
        <w:pStyle w:val="ListParagraph"/>
        <w:numPr>
          <w:ilvl w:val="3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bCs/>
          <w:iCs/>
          <w:sz w:val="24"/>
          <w:szCs w:val="24"/>
        </w:rPr>
        <w:t>Quarterly preparation of Segment reporting for Limited Review.</w:t>
      </w:r>
    </w:p>
    <w:p w:rsidR="00E30D7E" w:rsidRDefault="00E30D7E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tabs>
          <w:tab w:val="left" w:pos="270"/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Financial Reporting</w:t>
      </w:r>
    </w:p>
    <w:p w:rsidR="00E30D7E" w:rsidRDefault="00EB0A0C">
      <w:pPr>
        <w:pStyle w:val="ListParagraph"/>
        <w:numPr>
          <w:ilvl w:val="3"/>
          <w:numId w:val="13"/>
        </w:numPr>
        <w:tabs>
          <w:tab w:val="left" w:pos="270"/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bCs/>
          <w:iCs/>
          <w:sz w:val="24"/>
          <w:szCs w:val="24"/>
        </w:rPr>
        <w:t>Preparation of Final Accounts of group companies.</w:t>
      </w:r>
    </w:p>
    <w:p w:rsidR="00E30D7E" w:rsidRDefault="00E30D7E">
      <w:pPr>
        <w:pStyle w:val="ListParagraph"/>
        <w:tabs>
          <w:tab w:val="left" w:pos="270"/>
          <w:tab w:val="left" w:pos="720"/>
        </w:tabs>
        <w:spacing w:after="120" w:line="24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tabs>
          <w:tab w:val="left" w:pos="270"/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System Implementation – Sun System</w:t>
      </w:r>
    </w:p>
    <w:p w:rsidR="00E30D7E" w:rsidRDefault="00EB0A0C">
      <w:pPr>
        <w:pStyle w:val="ListParagraph"/>
        <w:numPr>
          <w:ilvl w:val="3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bCs/>
          <w:iCs/>
          <w:sz w:val="24"/>
          <w:szCs w:val="24"/>
        </w:rPr>
        <w:t>Understanding the processes of various businesses, flow of Information within the organization, various requirement of management, areas to be covered in the prospective system based on requirement,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preparation of raw data to be entered into system, checkpoints at various level to ensure proper &amp; correct dataflow within the system, preparation of various reports, testing the system output with ongoing system through parallel run.</w:t>
      </w:r>
    </w:p>
    <w:p w:rsidR="00E30D7E" w:rsidRDefault="00E30D7E">
      <w:pPr>
        <w:pStyle w:val="ListParagraph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iCs/>
        </w:rPr>
      </w:pPr>
    </w:p>
    <w:p w:rsidR="00E30D7E" w:rsidRDefault="00EB0A0C">
      <w:pPr>
        <w:pStyle w:val="ListParagraph"/>
        <w:numPr>
          <w:ilvl w:val="0"/>
          <w:numId w:val="13"/>
        </w:numPr>
        <w:tabs>
          <w:tab w:val="left" w:pos="-1418"/>
          <w:tab w:val="left" w:pos="27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Internship with JC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 &amp; Co., a mid-sized firm based in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Khar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West,        Mumbai (October, 2012 – January, 2015)</w:t>
      </w:r>
    </w:p>
    <w:p w:rsidR="00E30D7E" w:rsidRDefault="00EB0A0C">
      <w:pPr>
        <w:pStyle w:val="ListParagraph"/>
        <w:numPr>
          <w:ilvl w:val="1"/>
          <w:numId w:val="13"/>
        </w:numPr>
        <w:tabs>
          <w:tab w:val="left" w:pos="-1418"/>
          <w:tab w:val="left" w:pos="27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Key responsibility area :</w:t>
      </w:r>
    </w:p>
    <w:p w:rsidR="00E30D7E" w:rsidRDefault="00EB0A0C">
      <w:pPr>
        <w:pStyle w:val="ListParagraph"/>
        <w:numPr>
          <w:ilvl w:val="2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Statutory Audits of Private Companies (JCR &amp; Co., Mumbai)</w:t>
      </w:r>
    </w:p>
    <w:p w:rsidR="00E30D7E" w:rsidRDefault="00EB0A0C">
      <w:pPr>
        <w:pStyle w:val="ListParagraph"/>
        <w:numPr>
          <w:ilvl w:val="3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Objective:</w:t>
      </w:r>
      <w:r>
        <w:rPr>
          <w:rFonts w:ascii="Times New Roman" w:hAnsi="Times New Roman" w:cs="Times New Roman"/>
          <w:iCs/>
        </w:rPr>
        <w:t xml:space="preserve"> To learn the various steps to be checked so as to vouch and verify th</w:t>
      </w:r>
      <w:r>
        <w:rPr>
          <w:rFonts w:ascii="Times New Roman" w:hAnsi="Times New Roman" w:cs="Times New Roman"/>
          <w:iCs/>
        </w:rPr>
        <w:t>at the company is presenting a true and fair view of its books of accounts.</w:t>
      </w:r>
    </w:p>
    <w:p w:rsidR="00E30D7E" w:rsidRDefault="00E30D7E">
      <w:pPr>
        <w:pStyle w:val="ListParagraph"/>
        <w:tabs>
          <w:tab w:val="left" w:pos="-1418"/>
          <w:tab w:val="left" w:pos="27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Stock Audit of Private Companies</w:t>
      </w:r>
    </w:p>
    <w:p w:rsidR="00E30D7E" w:rsidRDefault="00EB0A0C">
      <w:pPr>
        <w:pStyle w:val="ListParagraph"/>
        <w:numPr>
          <w:ilvl w:val="3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Objective: </w:t>
      </w:r>
      <w:r>
        <w:rPr>
          <w:rFonts w:ascii="Times New Roman" w:hAnsi="Times New Roman" w:cs="Times New Roman"/>
          <w:iCs/>
        </w:rPr>
        <w:t>To verify the stock held by the company as on reporting date with the values mentioned in the books of accounts.</w:t>
      </w:r>
    </w:p>
    <w:p w:rsidR="00E30D7E" w:rsidRDefault="00E30D7E">
      <w:pPr>
        <w:pStyle w:val="ListParagraph"/>
        <w:tabs>
          <w:tab w:val="left" w:pos="-1418"/>
          <w:tab w:val="left" w:pos="27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Concurrent Audit</w:t>
      </w:r>
    </w:p>
    <w:p w:rsidR="00E30D7E" w:rsidRDefault="00EB0A0C">
      <w:pPr>
        <w:pStyle w:val="ListParagraph"/>
        <w:numPr>
          <w:ilvl w:val="3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Objective: </w:t>
      </w:r>
      <w:r>
        <w:rPr>
          <w:rFonts w:ascii="Times New Roman" w:hAnsi="Times New Roman" w:cs="Times New Roman"/>
          <w:iCs/>
        </w:rPr>
        <w:t>To analyze the working of the bank and various jobs carried out in the bank during its regular functioning.</w:t>
      </w:r>
    </w:p>
    <w:p w:rsidR="00E30D7E" w:rsidRDefault="00E30D7E">
      <w:pPr>
        <w:pStyle w:val="ListParagraph"/>
        <w:tabs>
          <w:tab w:val="left" w:pos="-1418"/>
          <w:tab w:val="left" w:pos="27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>Internal Audit</w:t>
      </w:r>
    </w:p>
    <w:p w:rsidR="00E30D7E" w:rsidRDefault="00EB0A0C">
      <w:pPr>
        <w:pStyle w:val="ListParagraph"/>
        <w:numPr>
          <w:ilvl w:val="3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iCs/>
        </w:rPr>
        <w:t>To supervise the various entries (Expenses, incomes, provisions, statutory dues, etc.) in the books of account</w:t>
      </w:r>
      <w:r>
        <w:rPr>
          <w:rFonts w:ascii="Times New Roman" w:hAnsi="Times New Roman" w:cs="Times New Roman"/>
          <w:iCs/>
        </w:rPr>
        <w:t>s.</w:t>
      </w:r>
    </w:p>
    <w:p w:rsidR="00E30D7E" w:rsidRDefault="00E30D7E">
      <w:pPr>
        <w:pStyle w:val="ListParagraph"/>
        <w:tabs>
          <w:tab w:val="left" w:pos="-1418"/>
          <w:tab w:val="left" w:pos="27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Taxation</w:t>
      </w:r>
    </w:p>
    <w:p w:rsidR="00E30D7E" w:rsidRDefault="00EB0A0C">
      <w:pPr>
        <w:pStyle w:val="ListParagraph"/>
        <w:numPr>
          <w:ilvl w:val="3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iCs/>
        </w:rPr>
        <w:t>Payments &amp; Return filing for Tax Deducted at Source, Profession tax, Value Added Tax, Service tax, Income tax (Individuals &amp; Companies)</w:t>
      </w:r>
    </w:p>
    <w:p w:rsidR="00E30D7E" w:rsidRDefault="00E30D7E">
      <w:pPr>
        <w:pStyle w:val="ListParagraph"/>
        <w:tabs>
          <w:tab w:val="left" w:pos="-1418"/>
          <w:tab w:val="left" w:pos="27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2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Registrar of Companies Filing</w:t>
      </w:r>
    </w:p>
    <w:p w:rsidR="00E30D7E" w:rsidRDefault="00EB0A0C">
      <w:pPr>
        <w:pStyle w:val="ListParagraph"/>
        <w:numPr>
          <w:ilvl w:val="3"/>
          <w:numId w:val="13"/>
        </w:numPr>
        <w:tabs>
          <w:tab w:val="left" w:pos="-1418"/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</w:rPr>
        <w:t>Filing of ROC Returns along with various forms such a</w:t>
      </w:r>
      <w:r>
        <w:rPr>
          <w:rFonts w:ascii="Times New Roman" w:hAnsi="Times New Roman" w:cs="Times New Roman"/>
        </w:rPr>
        <w:t>s 23AC, 23ACA, 20B, MGT-14 and ADT-1.</w:t>
      </w:r>
    </w:p>
    <w:p w:rsidR="00E30D7E" w:rsidRDefault="00E30D7E">
      <w:pPr>
        <w:pStyle w:val="ListParagraph"/>
        <w:tabs>
          <w:tab w:val="left" w:pos="-1418"/>
          <w:tab w:val="left" w:pos="270"/>
        </w:tabs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D7E" w:rsidRDefault="00EB0A0C">
      <w:pPr>
        <w:pStyle w:val="ListParagraph"/>
        <w:numPr>
          <w:ilvl w:val="0"/>
          <w:numId w:val="13"/>
        </w:numPr>
        <w:tabs>
          <w:tab w:val="left" w:pos="-1418"/>
          <w:tab w:val="left" w:pos="27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Junior Accountant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with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Shailesh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Joshi &amp; Associates (June, 2012 – September, 2012)</w:t>
      </w:r>
    </w:p>
    <w:p w:rsidR="00E30D7E" w:rsidRDefault="00EB0A0C">
      <w:pPr>
        <w:pStyle w:val="ListParagraph"/>
        <w:numPr>
          <w:ilvl w:val="1"/>
          <w:numId w:val="13"/>
        </w:numPr>
        <w:tabs>
          <w:tab w:val="left" w:pos="-1418"/>
          <w:tab w:val="left" w:pos="27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Key responsibility area :</w:t>
      </w:r>
    </w:p>
    <w:p w:rsidR="00E30D7E" w:rsidRDefault="00EB0A0C">
      <w:pPr>
        <w:pStyle w:val="ListParagraph"/>
        <w:numPr>
          <w:ilvl w:val="3"/>
          <w:numId w:val="13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>
        <w:rPr>
          <w:rFonts w:ascii="Times New Roman" w:hAnsi="Times New Roman" w:cs="Times New Roman"/>
          <w:iCs/>
        </w:rPr>
        <w:t xml:space="preserve"> Maintained and prepared the </w:t>
      </w:r>
      <w:proofErr w:type="spellStart"/>
      <w:r>
        <w:rPr>
          <w:rFonts w:ascii="Times New Roman" w:hAnsi="Times New Roman" w:cs="Times New Roman"/>
          <w:iCs/>
        </w:rPr>
        <w:t>Cen</w:t>
      </w:r>
      <w:proofErr w:type="spellEnd"/>
      <w:r>
        <w:rPr>
          <w:rFonts w:ascii="Times New Roman" w:hAnsi="Times New Roman" w:cs="Times New Roman"/>
          <w:iCs/>
        </w:rPr>
        <w:t>-Vat register for claims in Service Tax Returns for Pfizer Group.</w:t>
      </w:r>
    </w:p>
    <w:p w:rsidR="00E30D7E" w:rsidRDefault="00E30D7E">
      <w:pPr>
        <w:pStyle w:val="ListParagraph"/>
        <w:ind w:left="1440"/>
        <w:jc w:val="both"/>
        <w:rPr>
          <w:rFonts w:ascii="Times New Roman" w:hAnsi="Times New Roman" w:cs="Times New Roman"/>
          <w:iCs/>
        </w:rPr>
      </w:pPr>
    </w:p>
    <w:p w:rsidR="00E30D7E" w:rsidRDefault="00EB0A0C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Skills</w:t>
      </w:r>
    </w:p>
    <w:p w:rsidR="00E30D7E" w:rsidRDefault="00EB0A0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Skills</w:t>
      </w:r>
    </w:p>
    <w:p w:rsidR="00E30D7E" w:rsidRDefault="00EB0A0C">
      <w:pPr>
        <w:pStyle w:val="ListParagraph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Microsoft Office (Word, Excel, Power-point).</w:t>
      </w:r>
    </w:p>
    <w:p w:rsidR="00E30D7E" w:rsidRDefault="00EB0A0C">
      <w:pPr>
        <w:pStyle w:val="ListParagraph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Basic software knowledge of Tally, Sun system, Trace and TNE. </w:t>
      </w:r>
    </w:p>
    <w:p w:rsidR="00E30D7E" w:rsidRDefault="00E30D7E">
      <w:pPr>
        <w:pStyle w:val="ListParagraph"/>
        <w:spacing w:after="0"/>
        <w:ind w:left="1440"/>
        <w:jc w:val="both"/>
        <w:rPr>
          <w:rFonts w:ascii="Times New Roman" w:hAnsi="Times New Roman" w:cs="Times New Roman"/>
        </w:rPr>
      </w:pPr>
    </w:p>
    <w:p w:rsidR="00E30D7E" w:rsidRDefault="00EB0A0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Routine Internet &amp; Computer Operations</w:t>
      </w:r>
    </w:p>
    <w:p w:rsidR="00E30D7E" w:rsidRDefault="00E30D7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E30D7E" w:rsidRDefault="00EB0A0C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References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References available on request.</w:t>
      </w:r>
    </w:p>
    <w:p w:rsidR="00E30D7E" w:rsidRDefault="00E30D7E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sectPr w:rsidR="00E30D7E" w:rsidSect="00E30D7E">
      <w:headerReference w:type="default" r:id="rId8"/>
      <w:footerReference w:type="default" r:id="rId9"/>
      <w:pgSz w:w="12240" w:h="15840"/>
      <w:pgMar w:top="900" w:right="1440" w:bottom="810" w:left="1440" w:header="270" w:footer="45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0C" w:rsidRDefault="00EB0A0C" w:rsidP="00E30D7E">
      <w:pPr>
        <w:spacing w:after="0" w:line="240" w:lineRule="auto"/>
      </w:pPr>
      <w:r>
        <w:separator/>
      </w:r>
    </w:p>
  </w:endnote>
  <w:endnote w:type="continuationSeparator" w:id="0">
    <w:p w:rsidR="00EB0A0C" w:rsidRDefault="00EB0A0C" w:rsidP="00E3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7E" w:rsidRDefault="00E30D7E">
    <w:pPr>
      <w:pStyle w:val="Footer"/>
      <w:jc w:val="center"/>
    </w:pPr>
  </w:p>
  <w:p w:rsidR="00E30D7E" w:rsidRDefault="00E30D7E">
    <w:pPr>
      <w:pStyle w:val="Footer"/>
      <w:jc w:val="center"/>
    </w:pPr>
  </w:p>
  <w:p w:rsidR="00E30D7E" w:rsidRDefault="00E30D7E">
    <w:pPr>
      <w:pStyle w:val="Footer"/>
      <w:tabs>
        <w:tab w:val="clear" w:pos="4680"/>
      </w:tabs>
      <w:jc w:val="right"/>
      <w:rPr>
        <w:rFonts w:ascii="Euphemia" w:hAnsi="Euphemia"/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0C" w:rsidRDefault="00EB0A0C" w:rsidP="00E30D7E">
      <w:pPr>
        <w:spacing w:after="0" w:line="240" w:lineRule="auto"/>
      </w:pPr>
      <w:r>
        <w:separator/>
      </w:r>
    </w:p>
  </w:footnote>
  <w:footnote w:type="continuationSeparator" w:id="0">
    <w:p w:rsidR="00EB0A0C" w:rsidRDefault="00EB0A0C" w:rsidP="00E3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7E" w:rsidRDefault="00E30D7E">
    <w:pPr>
      <w:pStyle w:val="Footer"/>
      <w:tabs>
        <w:tab w:val="clear" w:pos="4680"/>
      </w:tabs>
      <w:jc w:val="right"/>
      <w:rPr>
        <w:rFonts w:ascii="Euphemia" w:hAnsi="Euphemia"/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91C6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4A088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DACF5D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ACCB3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CECD7AA"/>
    <w:lvl w:ilvl="0" w:tplc="03E22F10">
      <w:start w:val="1"/>
      <w:numFmt w:val="bullet"/>
      <w:lvlText w:val=""/>
      <w:lvlJc w:val="left"/>
      <w:pPr>
        <w:ind w:left="108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F44877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BDC7C70"/>
    <w:lvl w:ilvl="0" w:tplc="A45C0C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79460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1EEEFB9A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C58A516"/>
    <w:lvl w:ilvl="0" w:tplc="E8883C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99ED87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26C254EC"/>
    <w:lvl w:ilvl="0" w:tplc="03E22F10">
      <w:start w:val="1"/>
      <w:numFmt w:val="bullet"/>
      <w:lvlText w:val="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6A2B2FE"/>
    <w:lvl w:ilvl="0" w:tplc="03E22F10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F0C8EA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000000E"/>
    <w:multiLevelType w:val="hybridMultilevel"/>
    <w:tmpl w:val="91B8A6E4"/>
    <w:lvl w:ilvl="0" w:tplc="03E22F10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A36B7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F40F8E0"/>
    <w:lvl w:ilvl="0" w:tplc="199E40DE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00000011"/>
    <w:multiLevelType w:val="hybridMultilevel"/>
    <w:tmpl w:val="9F505448"/>
    <w:lvl w:ilvl="0" w:tplc="E3F81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626E2A2"/>
    <w:lvl w:ilvl="0" w:tplc="E8883C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54AA660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EB720A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7A0C3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186BEAE"/>
    <w:lvl w:ilvl="0" w:tplc="199E40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7C88DF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20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19"/>
  </w:num>
  <w:num w:numId="16">
    <w:abstractNumId w:val="21"/>
  </w:num>
  <w:num w:numId="17">
    <w:abstractNumId w:val="18"/>
  </w:num>
  <w:num w:numId="18">
    <w:abstractNumId w:val="5"/>
  </w:num>
  <w:num w:numId="19">
    <w:abstractNumId w:val="0"/>
  </w:num>
  <w:num w:numId="20">
    <w:abstractNumId w:val="1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E"/>
    <w:rsid w:val="00CE6A87"/>
    <w:rsid w:val="00E30D7E"/>
    <w:rsid w:val="00EB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uiPriority w:val="99"/>
    <w:rsid w:val="00E30D7E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basedOn w:val="DefaultParagraphFont"/>
    <w:uiPriority w:val="99"/>
    <w:rsid w:val="00E30D7E"/>
    <w:rPr>
      <w:rFonts w:cs="Times New Roman"/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E30D7E"/>
    <w:rPr>
      <w:smallCaps/>
      <w:color w:val="5A5A5A"/>
    </w:rPr>
  </w:style>
  <w:style w:type="paragraph" w:styleId="ListParagraph">
    <w:name w:val="List Paragraph"/>
    <w:basedOn w:val="Normal"/>
    <w:uiPriority w:val="34"/>
    <w:qFormat/>
    <w:rsid w:val="00E30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3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7E"/>
  </w:style>
  <w:style w:type="paragraph" w:styleId="Footer">
    <w:name w:val="footer"/>
    <w:basedOn w:val="Normal"/>
    <w:link w:val="FooterChar"/>
    <w:uiPriority w:val="99"/>
    <w:rsid w:val="00E3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7E"/>
  </w:style>
  <w:style w:type="paragraph" w:styleId="NoSpacing">
    <w:name w:val="No Spacing"/>
    <w:link w:val="NoSpacingChar"/>
    <w:uiPriority w:val="1"/>
    <w:qFormat/>
    <w:rsid w:val="00E30D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0D7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rsid w:val="00E3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manshu.3760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2018-01-12T09:50:00Z</dcterms:created>
  <dcterms:modified xsi:type="dcterms:W3CDTF">2018-01-12T09:50:00Z</dcterms:modified>
</cp:coreProperties>
</file>