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8905"/>
        <w:gridCol w:w="1795"/>
      </w:tblGrid>
      <w:tr w:rsidR="00601AEB" w:rsidTr="00601AEB">
        <w:tc>
          <w:tcPr>
            <w:tcW w:w="8905" w:type="dxa"/>
          </w:tcPr>
          <w:p w:rsidR="00125432" w:rsidRDefault="00125432" w:rsidP="009E0874">
            <w:pPr>
              <w:spacing w:after="120"/>
              <w:ind w:left="90"/>
              <w:jc w:val="center"/>
              <w:rPr>
                <w:b/>
                <w:sz w:val="38"/>
                <w:szCs w:val="20"/>
              </w:rPr>
            </w:pPr>
            <w:r>
              <w:rPr>
                <w:b/>
                <w:sz w:val="38"/>
                <w:szCs w:val="20"/>
              </w:rPr>
              <w:t xml:space="preserve">Curriculum Vitae </w:t>
            </w:r>
          </w:p>
          <w:p w:rsidR="009E0874" w:rsidRPr="00125432" w:rsidRDefault="00125432" w:rsidP="009E0874">
            <w:pPr>
              <w:spacing w:after="120"/>
              <w:ind w:left="90"/>
              <w:jc w:val="center"/>
              <w:rPr>
                <w:b/>
                <w:sz w:val="38"/>
                <w:szCs w:val="20"/>
              </w:rPr>
            </w:pPr>
            <w:proofErr w:type="spellStart"/>
            <w:r w:rsidRPr="00125432">
              <w:rPr>
                <w:b/>
                <w:sz w:val="38"/>
                <w:szCs w:val="20"/>
              </w:rPr>
              <w:t>Taresh</w:t>
            </w:r>
            <w:proofErr w:type="spellEnd"/>
          </w:p>
          <w:p w:rsidR="009E0874" w:rsidRPr="003D4FC5" w:rsidRDefault="00BA5C31" w:rsidP="009E0874">
            <w:pPr>
              <w:spacing w:after="120"/>
              <w:ind w:left="9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Precious Cargo</w:t>
            </w:r>
            <w:r w:rsidR="00125432">
              <w:rPr>
                <w:sz w:val="20"/>
                <w:szCs w:val="20"/>
              </w:rPr>
              <w:t xml:space="preserve"> Supervisor</w:t>
            </w:r>
          </w:p>
          <w:p w:rsidR="009E0874" w:rsidRPr="00125432" w:rsidRDefault="00976E26" w:rsidP="00976E26">
            <w:pPr>
              <w:spacing w:after="120"/>
              <w:ind w:left="90"/>
              <w:jc w:val="center"/>
              <w:rPr>
                <w:sz w:val="20"/>
                <w:szCs w:val="20"/>
              </w:rPr>
            </w:pPr>
            <w:hyperlink r:id="rId6" w:history="1">
              <w:r w:rsidRPr="00B30047">
                <w:rPr>
                  <w:rStyle w:val="Hyperlink"/>
                  <w:sz w:val="20"/>
                  <w:szCs w:val="20"/>
                </w:rPr>
                <w:t>Taresh.376443@2freemail.com</w:t>
              </w:r>
            </w:hyperlink>
            <w:r>
              <w:rPr>
                <w:sz w:val="20"/>
                <w:szCs w:val="20"/>
              </w:rPr>
              <w:t xml:space="preserve"> </w:t>
            </w:r>
            <w:r w:rsidR="00BA5C31">
              <w:rPr>
                <w:sz w:val="20"/>
                <w:szCs w:val="20"/>
              </w:rPr>
              <w:t xml:space="preserve">   +971 </w:t>
            </w:r>
            <w:r>
              <w:rPr>
                <w:sz w:val="20"/>
                <w:szCs w:val="20"/>
              </w:rPr>
              <w:t>503718643</w:t>
            </w:r>
          </w:p>
        </w:tc>
        <w:tc>
          <w:tcPr>
            <w:tcW w:w="1795" w:type="dxa"/>
          </w:tcPr>
          <w:p w:rsidR="009E0874" w:rsidRDefault="009E0874" w:rsidP="009E0874">
            <w:pPr>
              <w:rPr>
                <w:b/>
                <w:sz w:val="32"/>
                <w:szCs w:val="20"/>
              </w:rPr>
            </w:pPr>
          </w:p>
        </w:tc>
      </w:tr>
    </w:tbl>
    <w:p w:rsidR="00B6190B" w:rsidRPr="003D4FC5" w:rsidRDefault="003D4FC5" w:rsidP="00B6190B">
      <w:pPr>
        <w:ind w:left="90"/>
        <w:rPr>
          <w:b/>
          <w:sz w:val="20"/>
          <w:szCs w:val="20"/>
        </w:rPr>
      </w:pPr>
      <w:r w:rsidRPr="003D4FC5">
        <w:rPr>
          <w:b/>
          <w:sz w:val="20"/>
          <w:szCs w:val="20"/>
        </w:rPr>
        <w:t>PROFILE</w:t>
      </w:r>
    </w:p>
    <w:p w:rsidR="00110676" w:rsidRDefault="00125432" w:rsidP="00BA5C31">
      <w:pPr>
        <w:ind w:left="90"/>
        <w:rPr>
          <w:sz w:val="20"/>
          <w:szCs w:val="20"/>
        </w:rPr>
      </w:pPr>
      <w:r w:rsidRPr="00125432">
        <w:rPr>
          <w:sz w:val="20"/>
          <w:szCs w:val="20"/>
        </w:rPr>
        <w:t>With almost a decade of experience in supporting company’s supply chain compl</w:t>
      </w:r>
      <w:bookmarkStart w:id="0" w:name="_GoBack"/>
      <w:bookmarkEnd w:id="0"/>
      <w:r w:rsidRPr="00125432">
        <w:rPr>
          <w:sz w:val="20"/>
          <w:szCs w:val="20"/>
        </w:rPr>
        <w:t xml:space="preserve">iance efforts with federal and state reporting requirements &amp; obligations, I feel a strength of mine is interpreting complex regulations, extracting relevant information and translating those elements into the businesses operation. In identifying areas that a business can evolve to ensure sustainable growth, documenting and managing that change, whether it be for regulation shifts, process streamlining, cost saving or improved customer service, I always strive for operational excellence. Having begun as a 3PL implant for </w:t>
      </w:r>
      <w:r w:rsidR="001306EB">
        <w:rPr>
          <w:sz w:val="20"/>
          <w:szCs w:val="20"/>
        </w:rPr>
        <w:t xml:space="preserve">luxury goods firm </w:t>
      </w:r>
      <w:r w:rsidRPr="00125432">
        <w:rPr>
          <w:sz w:val="20"/>
          <w:szCs w:val="20"/>
        </w:rPr>
        <w:t xml:space="preserve">Richemont, contracted by Danzas, I worked through all their logistical departments over the course of 6 years. My diligence, knowledge and problem solving abilities were recognized, with my contract being purchased by Richemont, moving into the Logistics and Compliance </w:t>
      </w:r>
      <w:r w:rsidR="007D6BDC">
        <w:rPr>
          <w:sz w:val="20"/>
          <w:szCs w:val="20"/>
        </w:rPr>
        <w:t>department in a supervisory capacity</w:t>
      </w:r>
      <w:r w:rsidRPr="00125432">
        <w:rPr>
          <w:sz w:val="20"/>
          <w:szCs w:val="20"/>
        </w:rPr>
        <w:t>.</w:t>
      </w:r>
    </w:p>
    <w:p w:rsidR="00B6190B" w:rsidRPr="003D4FC5" w:rsidRDefault="003D4FC5" w:rsidP="00B6190B">
      <w:pPr>
        <w:ind w:left="90"/>
        <w:rPr>
          <w:sz w:val="20"/>
          <w:szCs w:val="20"/>
        </w:rPr>
      </w:pPr>
      <w:r w:rsidRPr="003D4FC5">
        <w:rPr>
          <w:b/>
          <w:sz w:val="20"/>
          <w:szCs w:val="20"/>
        </w:rPr>
        <w:t>WORK EXPERIENCE</w:t>
      </w:r>
    </w:p>
    <w:tbl>
      <w:tblPr>
        <w:tblW w:w="10260" w:type="dxa"/>
        <w:tblInd w:w="90" w:type="dxa"/>
        <w:tblLayout w:type="fixed"/>
        <w:tblLook w:val="04A0"/>
      </w:tblPr>
      <w:tblGrid>
        <w:gridCol w:w="6115"/>
        <w:gridCol w:w="2070"/>
        <w:gridCol w:w="2075"/>
      </w:tblGrid>
      <w:tr w:rsidR="000849D9" w:rsidRPr="003D4FC5" w:rsidTr="00136115">
        <w:trPr>
          <w:trHeight w:val="70"/>
        </w:trPr>
        <w:tc>
          <w:tcPr>
            <w:tcW w:w="6115" w:type="dxa"/>
            <w:shd w:val="clear" w:color="auto" w:fill="D9D9D9" w:themeFill="background1" w:themeFillShade="D9"/>
          </w:tcPr>
          <w:p w:rsidR="007D6BDC" w:rsidRDefault="007D6BDC" w:rsidP="007D6BDC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bookmarkStart w:id="1" w:name="OLE_LINK15"/>
            <w:bookmarkStart w:id="2" w:name="OLE_LINK16"/>
            <w:bookmarkStart w:id="3" w:name="OLE_LINK17"/>
            <w:bookmarkStart w:id="4" w:name="OLE_LINK49"/>
            <w:bookmarkStart w:id="5" w:name="OLE_LINK53"/>
            <w:r>
              <w:rPr>
                <w:rFonts w:cs="Calibri"/>
                <w:b/>
                <w:sz w:val="20"/>
                <w:szCs w:val="20"/>
              </w:rPr>
              <w:t>Precious Cargo Supervisor</w:t>
            </w:r>
            <w:r w:rsidR="000849D9" w:rsidRPr="003D4FC5">
              <w:rPr>
                <w:rFonts w:cs="Calibri"/>
                <w:b/>
                <w:sz w:val="20"/>
                <w:szCs w:val="20"/>
              </w:rPr>
              <w:t>,</w:t>
            </w:r>
          </w:p>
          <w:p w:rsidR="000849D9" w:rsidRPr="003D4FC5" w:rsidRDefault="007D6BDC" w:rsidP="007D6BD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The Events and Compliance Logistics department -</w:t>
            </w:r>
            <w:r w:rsidR="000849D9" w:rsidRPr="003D4FC5">
              <w:rPr>
                <w:rFonts w:cs="Calibri"/>
                <w:b/>
                <w:sz w:val="20"/>
                <w:szCs w:val="20"/>
              </w:rPr>
              <w:t xml:space="preserve"> D</w:t>
            </w:r>
            <w:r w:rsidR="00125432">
              <w:rPr>
                <w:rFonts w:cs="Calibri"/>
                <w:b/>
                <w:sz w:val="20"/>
                <w:szCs w:val="20"/>
              </w:rPr>
              <w:t>ubai</w:t>
            </w:r>
            <w:r w:rsidR="000849D9" w:rsidRPr="003D4FC5">
              <w:rPr>
                <w:rFonts w:cs="Calibri"/>
                <w:b/>
                <w:sz w:val="20"/>
                <w:szCs w:val="20"/>
              </w:rPr>
              <w:t xml:space="preserve"> – UAE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:rsidR="000849D9" w:rsidRPr="003D4FC5" w:rsidRDefault="00125432" w:rsidP="000849D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Aug 2013 - Present</w:t>
            </w:r>
          </w:p>
        </w:tc>
        <w:tc>
          <w:tcPr>
            <w:tcW w:w="2075" w:type="dxa"/>
            <w:shd w:val="clear" w:color="auto" w:fill="D9D9D9" w:themeFill="background1" w:themeFillShade="D9"/>
          </w:tcPr>
          <w:p w:rsidR="000849D9" w:rsidRPr="003D4FC5" w:rsidRDefault="00125432" w:rsidP="004F7CB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1180465" cy="234950"/>
                  <wp:effectExtent l="0" t="0" r="63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0465" cy="234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7CBB" w:rsidRPr="003D4FC5" w:rsidTr="000849D9">
        <w:trPr>
          <w:trHeight w:val="2312"/>
        </w:trPr>
        <w:tc>
          <w:tcPr>
            <w:tcW w:w="10260" w:type="dxa"/>
            <w:gridSpan w:val="3"/>
          </w:tcPr>
          <w:p w:rsidR="00982702" w:rsidRDefault="004F7CBB" w:rsidP="00982702">
            <w:pPr>
              <w:rPr>
                <w:rFonts w:cs="Calibri"/>
                <w:b/>
                <w:sz w:val="20"/>
                <w:szCs w:val="20"/>
              </w:rPr>
            </w:pPr>
            <w:r w:rsidRPr="003D4FC5">
              <w:rPr>
                <w:rFonts w:cs="Calibri"/>
                <w:b/>
                <w:sz w:val="20"/>
                <w:szCs w:val="20"/>
              </w:rPr>
              <w:br/>
              <w:t xml:space="preserve">Responsibilities </w:t>
            </w:r>
          </w:p>
          <w:p w:rsidR="005F71A1" w:rsidRDefault="005F71A1" w:rsidP="007A4194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lowKashida"/>
            </w:pPr>
            <w:r>
              <w:t>Control of movements for events and all high value produ</w:t>
            </w:r>
            <w:r w:rsidRPr="005F71A1">
              <w:t>cts within the UAE and at other regional destinations, including Saudi Arabia, Oman, Kuwait, Bahrain, Qatar, Jordan, Lebanon, Egypt, Yemen, Iran, Iraq, India, Pakistan, Nepal, Sri Lanka and Bangladesh. </w:t>
            </w:r>
            <w:r w:rsidR="00AF24EA">
              <w:t>Movements can be on both a temporary or duty paid basis.</w:t>
            </w:r>
          </w:p>
          <w:p w:rsidR="00A507C1" w:rsidRDefault="00A507C1" w:rsidP="007A4194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lowKashida"/>
            </w:pPr>
            <w:r>
              <w:t>Ensuring legal requirements, internal policies and procedures are adhered to.</w:t>
            </w:r>
          </w:p>
          <w:p w:rsidR="005F71A1" w:rsidRDefault="005F71A1" w:rsidP="007A4194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lowKashida"/>
            </w:pPr>
            <w:r w:rsidRPr="005F71A1">
              <w:t>Record keeping, administrate functions, ensuring the accuracy of reports in relation to KPI’s volumes and incidents</w:t>
            </w:r>
          </w:p>
          <w:p w:rsidR="00A507C1" w:rsidRDefault="00A507C1" w:rsidP="007A4194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lowKashida"/>
            </w:pPr>
            <w:r>
              <w:t>Identify area for improvement, propose solutions</w:t>
            </w:r>
            <w:r w:rsidR="00C70DAC">
              <w:t xml:space="preserve"> to senior management and</w:t>
            </w:r>
            <w:r>
              <w:t xml:space="preserve"> lead projects teams through to implementation. </w:t>
            </w:r>
          </w:p>
          <w:p w:rsidR="007A4194" w:rsidRDefault="007D6BDC" w:rsidP="007A4194">
            <w:pPr>
              <w:pStyle w:val="ListParagraph"/>
              <w:numPr>
                <w:ilvl w:val="0"/>
                <w:numId w:val="13"/>
              </w:numPr>
              <w:rPr>
                <w:rFonts w:asciiTheme="minorHAnsi" w:eastAsiaTheme="minorHAnsi" w:hAnsiTheme="minorHAnsi" w:cstheme="minorBidi"/>
                <w:sz w:val="22"/>
                <w:szCs w:val="22"/>
                <w:lang w:val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/>
              </w:rPr>
              <w:t xml:space="preserve">Support the company’s efforts to ensure </w:t>
            </w:r>
            <w:r w:rsidR="007A4194" w:rsidRPr="007A4194">
              <w:rPr>
                <w:rFonts w:asciiTheme="minorHAnsi" w:eastAsiaTheme="minorHAnsi" w:hAnsiTheme="minorHAnsi" w:cstheme="minorBidi"/>
                <w:sz w:val="22"/>
                <w:szCs w:val="22"/>
                <w:lang w:val="en-US"/>
              </w:rPr>
              <w:t xml:space="preserve">discounted customs duty rates between subsidiary companies (Freezone and local market companies) to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/>
              </w:rPr>
              <w:t>the fullest potential</w:t>
            </w:r>
            <w:r w:rsidR="007A4194" w:rsidRPr="007A4194">
              <w:rPr>
                <w:rFonts w:asciiTheme="minorHAnsi" w:eastAsiaTheme="minorHAnsi" w:hAnsiTheme="minorHAnsi" w:cstheme="minorBidi"/>
                <w:sz w:val="22"/>
                <w:szCs w:val="22"/>
                <w:lang w:val="en-US"/>
              </w:rPr>
              <w:t>.</w:t>
            </w:r>
          </w:p>
          <w:p w:rsidR="007A4194" w:rsidRDefault="007A4194" w:rsidP="007A4194">
            <w:pPr>
              <w:pStyle w:val="ListParagraph"/>
              <w:numPr>
                <w:ilvl w:val="0"/>
                <w:numId w:val="13"/>
              </w:numPr>
              <w:rPr>
                <w:rFonts w:asciiTheme="minorHAnsi" w:eastAsiaTheme="minorHAnsi" w:hAnsiTheme="minorHAnsi" w:cstheme="minorBidi"/>
                <w:sz w:val="22"/>
                <w:szCs w:val="22"/>
                <w:lang w:val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/>
              </w:rPr>
              <w:t xml:space="preserve">To </w:t>
            </w:r>
            <w:r w:rsidR="007D6BDC">
              <w:rPr>
                <w:rFonts w:asciiTheme="minorHAnsi" w:eastAsiaTheme="minorHAnsi" w:hAnsiTheme="minorHAnsi" w:cstheme="minorBidi"/>
                <w:sz w:val="22"/>
                <w:szCs w:val="22"/>
                <w:lang w:val="en-US"/>
              </w:rPr>
              <w:t xml:space="preserve">support the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/>
              </w:rPr>
              <w:t>manage</w:t>
            </w:r>
            <w:r w:rsidR="007D6BDC">
              <w:rPr>
                <w:rFonts w:asciiTheme="minorHAnsi" w:eastAsiaTheme="minorHAnsi" w:hAnsiTheme="minorHAnsi" w:cstheme="minorBidi"/>
                <w:sz w:val="22"/>
                <w:szCs w:val="22"/>
                <w:lang w:val="en-US"/>
              </w:rPr>
              <w:t>ment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/>
              </w:rPr>
              <w:t>, train</w:t>
            </w:r>
            <w:r w:rsidR="007D6BDC">
              <w:rPr>
                <w:rFonts w:asciiTheme="minorHAnsi" w:eastAsiaTheme="minorHAnsi" w:hAnsiTheme="minorHAnsi" w:cstheme="minorBidi"/>
                <w:sz w:val="22"/>
                <w:szCs w:val="22"/>
                <w:lang w:val="en-US"/>
              </w:rPr>
              <w:t>ing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/>
              </w:rPr>
              <w:t xml:space="preserve"> and be </w:t>
            </w:r>
            <w:r w:rsidR="007D6BDC">
              <w:rPr>
                <w:rFonts w:asciiTheme="minorHAnsi" w:eastAsiaTheme="minorHAnsi" w:hAnsiTheme="minorHAnsi" w:cstheme="minorBidi"/>
                <w:sz w:val="22"/>
                <w:szCs w:val="22"/>
                <w:lang w:val="en-US"/>
              </w:rPr>
              <w:t>an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/>
              </w:rPr>
              <w:t xml:space="preserve"> escalation point for all HS code classifications</w:t>
            </w:r>
          </w:p>
          <w:p w:rsidR="007A4194" w:rsidRDefault="007D6BDC" w:rsidP="007A4194">
            <w:pPr>
              <w:numPr>
                <w:ilvl w:val="0"/>
                <w:numId w:val="13"/>
              </w:numPr>
              <w:spacing w:after="0" w:line="240" w:lineRule="auto"/>
            </w:pPr>
            <w:r>
              <w:t xml:space="preserve">Support the department’s efforts in relation to various government departmentinteractions </w:t>
            </w:r>
            <w:r w:rsidR="007A4194">
              <w:t xml:space="preserve">ranging from the various countries customs but also ESMA for product registration, SASO &amp; Municipality authorities for quality, Chambers of Commerce. </w:t>
            </w:r>
          </w:p>
          <w:p w:rsidR="007A4194" w:rsidRDefault="007A4194" w:rsidP="007A4194">
            <w:pPr>
              <w:numPr>
                <w:ilvl w:val="0"/>
                <w:numId w:val="13"/>
              </w:numPr>
              <w:spacing w:after="0" w:line="240" w:lineRule="auto"/>
            </w:pPr>
            <w:r>
              <w:t xml:space="preserve">Responsible for Cites and ATA carnet movements.   </w:t>
            </w:r>
          </w:p>
          <w:p w:rsidR="00982702" w:rsidRPr="00982702" w:rsidRDefault="00982702" w:rsidP="007A4194">
            <w:pPr>
              <w:pStyle w:val="ListParagraph"/>
              <w:rPr>
                <w:rFonts w:cs="Calibri"/>
                <w:b/>
              </w:rPr>
            </w:pPr>
          </w:p>
        </w:tc>
      </w:tr>
    </w:tbl>
    <w:bookmarkEnd w:id="1"/>
    <w:bookmarkEnd w:id="2"/>
    <w:bookmarkEnd w:id="3"/>
    <w:bookmarkEnd w:id="4"/>
    <w:bookmarkEnd w:id="5"/>
    <w:p w:rsidR="00B6190B" w:rsidRDefault="00982702" w:rsidP="00B6190B">
      <w:pPr>
        <w:ind w:left="90"/>
        <w:rPr>
          <w:b/>
          <w:sz w:val="20"/>
          <w:szCs w:val="20"/>
        </w:rPr>
      </w:pPr>
      <w:r w:rsidRPr="00982702">
        <w:rPr>
          <w:b/>
          <w:sz w:val="20"/>
          <w:szCs w:val="20"/>
        </w:rPr>
        <w:t xml:space="preserve">Main Achievements </w:t>
      </w:r>
    </w:p>
    <w:p w:rsidR="00982702" w:rsidRPr="003814BE" w:rsidRDefault="007A4194" w:rsidP="00982702">
      <w:pPr>
        <w:pStyle w:val="ListParagraph"/>
        <w:numPr>
          <w:ilvl w:val="0"/>
          <w:numId w:val="13"/>
        </w:numPr>
        <w:rPr>
          <w:rFonts w:asciiTheme="minorHAnsi" w:eastAsiaTheme="minorHAnsi" w:hAnsiTheme="minorHAnsi" w:cstheme="minorBidi"/>
          <w:sz w:val="22"/>
          <w:szCs w:val="22"/>
          <w:lang w:val="en-US"/>
        </w:rPr>
      </w:pPr>
      <w:r w:rsidRPr="003814BE">
        <w:rPr>
          <w:rFonts w:asciiTheme="minorHAnsi" w:eastAsiaTheme="minorHAnsi" w:hAnsiTheme="minorHAnsi" w:cstheme="minorBidi"/>
          <w:sz w:val="22"/>
          <w:szCs w:val="22"/>
          <w:lang w:val="en-US"/>
        </w:rPr>
        <w:t>Saving 7</w:t>
      </w:r>
      <w:r w:rsidR="006F158F" w:rsidRPr="003814BE">
        <w:rPr>
          <w:rFonts w:asciiTheme="minorHAnsi" w:eastAsiaTheme="minorHAnsi" w:hAnsiTheme="minorHAnsi" w:cstheme="minorBidi"/>
          <w:sz w:val="22"/>
          <w:szCs w:val="22"/>
          <w:lang w:val="en-US"/>
        </w:rPr>
        <w:t>5</w:t>
      </w:r>
      <w:r w:rsidR="00982702" w:rsidRPr="003814BE">
        <w:rPr>
          <w:rFonts w:asciiTheme="minorHAnsi" w:eastAsiaTheme="minorHAnsi" w:hAnsiTheme="minorHAnsi" w:cstheme="minorBidi"/>
          <w:sz w:val="22"/>
          <w:szCs w:val="22"/>
          <w:lang w:val="en-US"/>
        </w:rPr>
        <w:t>% of operational teams man hours on all large scale events</w:t>
      </w:r>
    </w:p>
    <w:p w:rsidR="00982702" w:rsidRPr="003814BE" w:rsidRDefault="00982702" w:rsidP="00982702">
      <w:pPr>
        <w:pStyle w:val="ListParagraph"/>
        <w:numPr>
          <w:ilvl w:val="0"/>
          <w:numId w:val="13"/>
        </w:numPr>
        <w:rPr>
          <w:rFonts w:asciiTheme="minorHAnsi" w:eastAsiaTheme="minorHAnsi" w:hAnsiTheme="minorHAnsi" w:cstheme="minorBidi"/>
          <w:sz w:val="22"/>
          <w:szCs w:val="22"/>
          <w:lang w:val="en-US"/>
        </w:rPr>
      </w:pPr>
      <w:r w:rsidRPr="003814BE">
        <w:rPr>
          <w:rFonts w:asciiTheme="minorHAnsi" w:eastAsiaTheme="minorHAnsi" w:hAnsiTheme="minorHAnsi" w:cstheme="minorBidi"/>
          <w:sz w:val="22"/>
          <w:szCs w:val="22"/>
          <w:lang w:val="en-US"/>
        </w:rPr>
        <w:t>Developing a risk matrix to assess and prioritize risk and projects</w:t>
      </w:r>
    </w:p>
    <w:p w:rsidR="00982702" w:rsidRPr="003814BE" w:rsidRDefault="00982702" w:rsidP="00982702">
      <w:pPr>
        <w:pStyle w:val="ListParagraph"/>
        <w:numPr>
          <w:ilvl w:val="0"/>
          <w:numId w:val="13"/>
        </w:numPr>
        <w:rPr>
          <w:rFonts w:asciiTheme="minorHAnsi" w:eastAsiaTheme="minorHAnsi" w:hAnsiTheme="minorHAnsi" w:cstheme="minorBidi"/>
          <w:sz w:val="22"/>
          <w:szCs w:val="22"/>
          <w:lang w:val="en-US"/>
        </w:rPr>
      </w:pPr>
      <w:r w:rsidRPr="003814BE">
        <w:rPr>
          <w:rFonts w:asciiTheme="minorHAnsi" w:eastAsiaTheme="minorHAnsi" w:hAnsiTheme="minorHAnsi" w:cstheme="minorBidi"/>
          <w:sz w:val="22"/>
          <w:szCs w:val="22"/>
          <w:lang w:val="en-US"/>
        </w:rPr>
        <w:t>Created a Compliance book defining each department, implementing policies, procedures and work schedules to optimize the operation</w:t>
      </w:r>
    </w:p>
    <w:p w:rsidR="00615C7E" w:rsidRPr="003814BE" w:rsidRDefault="002D1F71" w:rsidP="00982702">
      <w:pPr>
        <w:pStyle w:val="ListParagraph"/>
        <w:numPr>
          <w:ilvl w:val="0"/>
          <w:numId w:val="13"/>
        </w:numPr>
        <w:rPr>
          <w:rFonts w:asciiTheme="minorHAnsi" w:eastAsiaTheme="minorHAnsi" w:hAnsiTheme="minorHAnsi" w:cstheme="minorBidi"/>
          <w:sz w:val="22"/>
          <w:szCs w:val="22"/>
          <w:lang w:val="en-US"/>
        </w:rPr>
      </w:pPr>
      <w:r w:rsidRPr="003814BE">
        <w:rPr>
          <w:rFonts w:asciiTheme="minorHAnsi" w:eastAsiaTheme="minorHAnsi" w:hAnsiTheme="minorHAnsi" w:cstheme="minorBidi"/>
          <w:sz w:val="22"/>
          <w:szCs w:val="22"/>
          <w:lang w:val="en-US"/>
        </w:rPr>
        <w:t xml:space="preserve">Leading a team assessing all points through flows, in house, forwarders, airlines and customs points lead to </w:t>
      </w:r>
      <w:r w:rsidR="00615C7E" w:rsidRPr="003814BE">
        <w:rPr>
          <w:rFonts w:asciiTheme="minorHAnsi" w:eastAsiaTheme="minorHAnsi" w:hAnsiTheme="minorHAnsi" w:cstheme="minorBidi"/>
          <w:sz w:val="22"/>
          <w:szCs w:val="22"/>
          <w:lang w:val="en-US"/>
        </w:rPr>
        <w:t xml:space="preserve">domestic </w:t>
      </w:r>
      <w:r w:rsidR="00A507C1" w:rsidRPr="003814BE">
        <w:rPr>
          <w:rFonts w:asciiTheme="minorHAnsi" w:eastAsiaTheme="minorHAnsi" w:hAnsiTheme="minorHAnsi" w:cstheme="minorBidi"/>
          <w:sz w:val="22"/>
          <w:szCs w:val="22"/>
          <w:lang w:val="en-US"/>
        </w:rPr>
        <w:t>lead-time</w:t>
      </w:r>
      <w:r w:rsidR="00615C7E" w:rsidRPr="003814BE">
        <w:rPr>
          <w:rFonts w:asciiTheme="minorHAnsi" w:eastAsiaTheme="minorHAnsi" w:hAnsiTheme="minorHAnsi" w:cstheme="minorBidi"/>
          <w:sz w:val="22"/>
          <w:szCs w:val="22"/>
          <w:lang w:val="en-US"/>
        </w:rPr>
        <w:t xml:space="preserve"> reduction of 2 days for high value products</w:t>
      </w:r>
      <w:r w:rsidR="00A507C1" w:rsidRPr="003814BE">
        <w:rPr>
          <w:rFonts w:asciiTheme="minorHAnsi" w:eastAsiaTheme="minorHAnsi" w:hAnsiTheme="minorHAnsi" w:cstheme="minorBidi"/>
          <w:sz w:val="22"/>
          <w:szCs w:val="22"/>
          <w:lang w:val="en-US"/>
        </w:rPr>
        <w:t>, establishing a ‘fast track’ flow throughout our supply chain.</w:t>
      </w:r>
      <w:r w:rsidRPr="003814BE">
        <w:rPr>
          <w:rFonts w:asciiTheme="minorHAnsi" w:eastAsiaTheme="minorHAnsi" w:hAnsiTheme="minorHAnsi" w:cstheme="minorBidi"/>
          <w:sz w:val="22"/>
          <w:szCs w:val="22"/>
          <w:lang w:val="en-US"/>
        </w:rPr>
        <w:t xml:space="preserve"> Other </w:t>
      </w:r>
      <w:r w:rsidR="00C70DAC" w:rsidRPr="003814BE">
        <w:rPr>
          <w:rFonts w:asciiTheme="minorHAnsi" w:eastAsiaTheme="minorHAnsi" w:hAnsiTheme="minorHAnsi" w:cstheme="minorBidi"/>
          <w:sz w:val="22"/>
          <w:szCs w:val="22"/>
          <w:lang w:val="en-US"/>
        </w:rPr>
        <w:t>lead-time</w:t>
      </w:r>
      <w:r w:rsidRPr="003814BE">
        <w:rPr>
          <w:rFonts w:asciiTheme="minorHAnsi" w:eastAsiaTheme="minorHAnsi" w:hAnsiTheme="minorHAnsi" w:cstheme="minorBidi"/>
          <w:sz w:val="22"/>
          <w:szCs w:val="22"/>
          <w:lang w:val="en-US"/>
        </w:rPr>
        <w:t xml:space="preserve"> reductions of note include KSA -13 days, Qatar -3, Kuwait -5, </w:t>
      </w:r>
      <w:r w:rsidR="00C70DAC" w:rsidRPr="003814BE">
        <w:rPr>
          <w:rFonts w:asciiTheme="minorHAnsi" w:eastAsiaTheme="minorHAnsi" w:hAnsiTheme="minorHAnsi" w:cstheme="minorBidi"/>
          <w:sz w:val="22"/>
          <w:szCs w:val="22"/>
          <w:lang w:val="en-US"/>
        </w:rPr>
        <w:t>and Bahrain</w:t>
      </w:r>
      <w:r w:rsidRPr="003814BE">
        <w:rPr>
          <w:rFonts w:asciiTheme="minorHAnsi" w:eastAsiaTheme="minorHAnsi" w:hAnsiTheme="minorHAnsi" w:cstheme="minorBidi"/>
          <w:sz w:val="22"/>
          <w:szCs w:val="22"/>
          <w:lang w:val="en-US"/>
        </w:rPr>
        <w:t xml:space="preserve"> – 3. </w:t>
      </w:r>
    </w:p>
    <w:p w:rsidR="00982702" w:rsidRPr="003814BE" w:rsidRDefault="00982702" w:rsidP="00982702">
      <w:pPr>
        <w:pStyle w:val="ListParagraph"/>
        <w:numPr>
          <w:ilvl w:val="0"/>
          <w:numId w:val="13"/>
        </w:numPr>
        <w:rPr>
          <w:rFonts w:asciiTheme="minorHAnsi" w:eastAsiaTheme="minorHAnsi" w:hAnsiTheme="minorHAnsi" w:cstheme="minorBidi"/>
          <w:sz w:val="22"/>
          <w:szCs w:val="22"/>
          <w:lang w:val="en-US"/>
        </w:rPr>
      </w:pPr>
      <w:r w:rsidRPr="003814BE">
        <w:rPr>
          <w:rFonts w:asciiTheme="minorHAnsi" w:eastAsiaTheme="minorHAnsi" w:hAnsiTheme="minorHAnsi" w:cstheme="minorBidi"/>
          <w:sz w:val="22"/>
          <w:szCs w:val="22"/>
          <w:lang w:val="en-US"/>
        </w:rPr>
        <w:t>Successfully negotiated with the chambers of commerce to be the 1st company to automate in-house printing and approval for the Certificate of origin</w:t>
      </w:r>
    </w:p>
    <w:p w:rsidR="00615C7E" w:rsidRPr="007A4194" w:rsidRDefault="00615C7E" w:rsidP="00982702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lowKashida"/>
        <w:rPr>
          <w:rFonts w:ascii="Tahoma" w:eastAsia="MS Mincho" w:hAnsi="Tahoma" w:cs="Tahoma"/>
        </w:rPr>
      </w:pPr>
      <w:r>
        <w:t xml:space="preserve">Defined &amp; implemented control mechanisms to control and report of liability held over temporary importation flows. </w:t>
      </w:r>
    </w:p>
    <w:p w:rsidR="007A4194" w:rsidRPr="007A4194" w:rsidRDefault="007A4194" w:rsidP="007A4194">
      <w:pPr>
        <w:numPr>
          <w:ilvl w:val="0"/>
          <w:numId w:val="13"/>
        </w:numPr>
        <w:spacing w:after="0" w:line="240" w:lineRule="auto"/>
      </w:pPr>
      <w:r>
        <w:t>Reduction of hand carry costs by 80%</w:t>
      </w:r>
    </w:p>
    <w:p w:rsidR="007A4194" w:rsidRDefault="007A4194" w:rsidP="007A4194">
      <w:pPr>
        <w:numPr>
          <w:ilvl w:val="0"/>
          <w:numId w:val="13"/>
        </w:numPr>
        <w:spacing w:after="0" w:line="240" w:lineRule="auto"/>
      </w:pPr>
      <w:r>
        <w:lastRenderedPageBreak/>
        <w:t>Designed and implemented an ‘Amazon’ style application that allows for the ordering and movement of 3</w:t>
      </w:r>
      <w:r w:rsidRPr="00F74D71">
        <w:rPr>
          <w:vertAlign w:val="superscript"/>
        </w:rPr>
        <w:t>rd</w:t>
      </w:r>
      <w:r>
        <w:t xml:space="preserve"> party managed assets (furniture). </w:t>
      </w:r>
    </w:p>
    <w:p w:rsidR="00615C7E" w:rsidRPr="00982702" w:rsidRDefault="00615C7E" w:rsidP="001771C4">
      <w:pPr>
        <w:pStyle w:val="ListParagraph"/>
        <w:rPr>
          <w:rFonts w:ascii="Tahoma" w:eastAsia="MS Mincho" w:hAnsi="Tahoma" w:cs="Tahoma"/>
        </w:rPr>
      </w:pPr>
    </w:p>
    <w:tbl>
      <w:tblPr>
        <w:tblW w:w="10260" w:type="dxa"/>
        <w:tblInd w:w="90" w:type="dxa"/>
        <w:tblLayout w:type="fixed"/>
        <w:tblLook w:val="04A0"/>
      </w:tblPr>
      <w:tblGrid>
        <w:gridCol w:w="5845"/>
        <w:gridCol w:w="2070"/>
        <w:gridCol w:w="2345"/>
      </w:tblGrid>
      <w:tr w:rsidR="000849D9" w:rsidRPr="003D4FC5" w:rsidTr="00136115">
        <w:trPr>
          <w:trHeight w:val="66"/>
        </w:trPr>
        <w:tc>
          <w:tcPr>
            <w:tcW w:w="5845" w:type="dxa"/>
            <w:shd w:val="clear" w:color="auto" w:fill="D9D9D9" w:themeFill="background1" w:themeFillShade="D9"/>
          </w:tcPr>
          <w:p w:rsidR="000849D9" w:rsidRPr="003D4FC5" w:rsidRDefault="00125432" w:rsidP="007A4194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Logistics Coordinator (</w:t>
            </w:r>
            <w:r w:rsidR="007A4194">
              <w:rPr>
                <w:rFonts w:cs="Calibri"/>
                <w:b/>
                <w:sz w:val="20"/>
                <w:szCs w:val="20"/>
              </w:rPr>
              <w:t>3PL implant for Richemont</w:t>
            </w:r>
            <w:r>
              <w:rPr>
                <w:rFonts w:cs="Calibri"/>
                <w:b/>
                <w:sz w:val="20"/>
                <w:szCs w:val="20"/>
              </w:rPr>
              <w:t xml:space="preserve">) </w:t>
            </w:r>
            <w:r w:rsidR="000849D9" w:rsidRPr="003D4FC5">
              <w:rPr>
                <w:rFonts w:cs="Calibri"/>
                <w:b/>
                <w:sz w:val="20"/>
                <w:szCs w:val="20"/>
              </w:rPr>
              <w:t>– UAE</w:t>
            </w:r>
            <w:bookmarkStart w:id="6" w:name="OLE_LINK54"/>
          </w:p>
        </w:tc>
        <w:bookmarkEnd w:id="6"/>
        <w:tc>
          <w:tcPr>
            <w:tcW w:w="2070" w:type="dxa"/>
            <w:shd w:val="clear" w:color="auto" w:fill="D9D9D9" w:themeFill="background1" w:themeFillShade="D9"/>
          </w:tcPr>
          <w:p w:rsidR="000849D9" w:rsidRPr="003D4FC5" w:rsidRDefault="00125432" w:rsidP="00125432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Nov 2007–July 2013</w:t>
            </w:r>
          </w:p>
        </w:tc>
        <w:tc>
          <w:tcPr>
            <w:tcW w:w="2345" w:type="dxa"/>
            <w:shd w:val="clear" w:color="auto" w:fill="D9D9D9" w:themeFill="background1" w:themeFillShade="D9"/>
          </w:tcPr>
          <w:p w:rsidR="000849D9" w:rsidRPr="003D4FC5" w:rsidRDefault="00125432" w:rsidP="00D0600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1351915" cy="314960"/>
                  <wp:effectExtent l="0" t="0" r="635" b="889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1915" cy="314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6091" w:rsidRPr="003D4FC5" w:rsidTr="000849D9">
        <w:trPr>
          <w:trHeight w:val="2872"/>
        </w:trPr>
        <w:tc>
          <w:tcPr>
            <w:tcW w:w="10260" w:type="dxa"/>
            <w:gridSpan w:val="3"/>
          </w:tcPr>
          <w:p w:rsidR="00DF6091" w:rsidRPr="003D4FC5" w:rsidRDefault="00DF6091" w:rsidP="00D0600E">
            <w:pPr>
              <w:rPr>
                <w:rFonts w:cs="Calibri"/>
                <w:b/>
                <w:sz w:val="20"/>
                <w:szCs w:val="20"/>
              </w:rPr>
            </w:pPr>
            <w:r w:rsidRPr="003D4FC5">
              <w:rPr>
                <w:rFonts w:cs="Calibri"/>
                <w:b/>
                <w:sz w:val="20"/>
                <w:szCs w:val="20"/>
              </w:rPr>
              <w:br/>
              <w:t xml:space="preserve">Responsibilities </w:t>
            </w:r>
          </w:p>
          <w:p w:rsidR="007A4194" w:rsidRDefault="007A4194" w:rsidP="007A4194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lowKashida"/>
            </w:pPr>
            <w:r>
              <w:t>Worked across import, export and domestic movements department</w:t>
            </w:r>
            <w:r w:rsidR="00205CE6">
              <w:t>s</w:t>
            </w:r>
            <w:r>
              <w:t>, creating a variety of Emirsal bills of entry and relevant documentation pertaining to support each movement.</w:t>
            </w:r>
          </w:p>
          <w:p w:rsidR="007A4194" w:rsidRDefault="007A4194" w:rsidP="007A4194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lowKashida"/>
            </w:pPr>
            <w:r>
              <w:t>Prepare stock reconciliation report for all brands in order to balance the stock physically and in the system</w:t>
            </w:r>
          </w:p>
          <w:p w:rsidR="007A4194" w:rsidRDefault="007A4194" w:rsidP="007A4194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lowKashida"/>
            </w:pPr>
            <w:r>
              <w:t>Coordinate with the brands to bring the valuables and general cargo shipments for invoicing to the clients and retail boutiques</w:t>
            </w:r>
          </w:p>
          <w:p w:rsidR="007A4194" w:rsidRDefault="007A4194" w:rsidP="007A4194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lowKashida"/>
            </w:pPr>
            <w:r>
              <w:t>Send pending inbound reports for internal review</w:t>
            </w:r>
          </w:p>
          <w:p w:rsidR="007A4194" w:rsidRDefault="007A4194" w:rsidP="007A4194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lowKashida"/>
            </w:pPr>
            <w:r>
              <w:t>Manage projects for better efficiency in the procedure of the workflow</w:t>
            </w:r>
          </w:p>
          <w:p w:rsidR="007A4194" w:rsidRPr="000270BC" w:rsidRDefault="007A4194" w:rsidP="007A4194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lowKashida"/>
            </w:pPr>
            <w:r>
              <w:t>Coordinate with freight forwarders for negotiating rates of freight</w:t>
            </w:r>
          </w:p>
          <w:p w:rsidR="007A4194" w:rsidRDefault="007A4194" w:rsidP="007A4194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lowKashida"/>
            </w:pPr>
            <w:r>
              <w:t>Analyze all aspects of logistics to identify cost effective means of transporting products</w:t>
            </w:r>
          </w:p>
          <w:p w:rsidR="007A4194" w:rsidRDefault="007A4194" w:rsidP="007A4194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lowKashida"/>
            </w:pPr>
            <w:r>
              <w:t>Review of supplier invoices for payment</w:t>
            </w:r>
          </w:p>
          <w:p w:rsidR="007A4194" w:rsidRDefault="007A4194" w:rsidP="007A4194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lowKashida"/>
            </w:pPr>
            <w:r>
              <w:t>Ensure timey closure for shipment reception every month end for financial billing</w:t>
            </w:r>
          </w:p>
          <w:p w:rsidR="00DF6091" w:rsidRPr="003D4FC5" w:rsidRDefault="00DF6091" w:rsidP="007A4194">
            <w:pPr>
              <w:spacing w:after="0" w:line="240" w:lineRule="auto"/>
              <w:ind w:left="720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</w:tr>
    </w:tbl>
    <w:p w:rsidR="007A4194" w:rsidRDefault="007A4194" w:rsidP="007A4194">
      <w:pPr>
        <w:ind w:left="90"/>
        <w:rPr>
          <w:b/>
          <w:sz w:val="20"/>
          <w:szCs w:val="20"/>
        </w:rPr>
      </w:pPr>
      <w:r w:rsidRPr="00982702">
        <w:rPr>
          <w:b/>
          <w:sz w:val="20"/>
          <w:szCs w:val="20"/>
        </w:rPr>
        <w:t xml:space="preserve">Main Achievements </w:t>
      </w:r>
    </w:p>
    <w:p w:rsidR="007A4194" w:rsidRDefault="007A4194" w:rsidP="007A4194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lowKashida"/>
      </w:pPr>
      <w:r w:rsidRPr="00D81F53">
        <w:t>Defined &amp;</w:t>
      </w:r>
      <w:r>
        <w:t>developed a Hand carry training module for brand staff to hand carry products across the border in a legal and compliant manner</w:t>
      </w:r>
    </w:p>
    <w:p w:rsidR="007A4194" w:rsidRDefault="007A4194" w:rsidP="007A4194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lowKashida"/>
      </w:pPr>
      <w:r w:rsidRPr="00D81F53">
        <w:t>Defined &amp;</w:t>
      </w:r>
      <w:r>
        <w:t>developed a legal framework for legally declaring products which are being returned by clients and exchanged for new products</w:t>
      </w:r>
    </w:p>
    <w:p w:rsidR="007A4194" w:rsidRDefault="001771C4" w:rsidP="007A4194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lowKashida"/>
      </w:pPr>
      <w:r>
        <w:t>Reduction of manual data entry, working with suppliers to provide EDI’s and similar a</w:t>
      </w:r>
      <w:r w:rsidR="007A4194">
        <w:t>utomat</w:t>
      </w:r>
      <w:r>
        <w:t>ed files.</w:t>
      </w:r>
    </w:p>
    <w:p w:rsidR="007A4194" w:rsidRDefault="007A4194" w:rsidP="007A4194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lowKashida"/>
      </w:pPr>
      <w:r>
        <w:t>Successfully defined, developed and implemented the ATA carnet process with Dubai Chambers(1</w:t>
      </w:r>
      <w:r w:rsidRPr="007A4194">
        <w:t>st</w:t>
      </w:r>
      <w:r>
        <w:t xml:space="preserve"> company in UAE)</w:t>
      </w:r>
      <w:r w:rsidR="001771C4">
        <w:t>.</w:t>
      </w:r>
    </w:p>
    <w:p w:rsidR="007A4194" w:rsidRDefault="007A4194" w:rsidP="007A4194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lowKashida"/>
      </w:pPr>
      <w:r>
        <w:t>Defined a procedure for cross docking shipments from Paris Gallery and Rivoli</w:t>
      </w:r>
    </w:p>
    <w:p w:rsidR="00125432" w:rsidRDefault="00125432" w:rsidP="00B6190B">
      <w:pPr>
        <w:ind w:left="90"/>
        <w:rPr>
          <w:sz w:val="20"/>
          <w:szCs w:val="20"/>
        </w:rPr>
      </w:pPr>
    </w:p>
    <w:tbl>
      <w:tblPr>
        <w:tblStyle w:val="TableGrid"/>
        <w:tblW w:w="0" w:type="auto"/>
        <w:tblInd w:w="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430"/>
      </w:tblGrid>
      <w:tr w:rsidR="000849D9" w:rsidRPr="000849D9" w:rsidTr="00136115">
        <w:tc>
          <w:tcPr>
            <w:tcW w:w="10430" w:type="dxa"/>
            <w:shd w:val="clear" w:color="auto" w:fill="D9D9D9" w:themeFill="background1" w:themeFillShade="D9"/>
          </w:tcPr>
          <w:p w:rsidR="000849D9" w:rsidRPr="000849D9" w:rsidRDefault="001771C4" w:rsidP="00D0600E">
            <w:pPr>
              <w:rPr>
                <w:b/>
                <w:sz w:val="20"/>
                <w:szCs w:val="20"/>
              </w:rPr>
            </w:pPr>
            <w:r>
              <w:rPr>
                <w:rStyle w:val="Strong"/>
                <w:rFonts w:ascii="Calibri" w:hAnsi="Calibri" w:cs="Calibri"/>
                <w:sz w:val="20"/>
                <w:szCs w:val="20"/>
              </w:rPr>
              <w:t>HOBBIES AND INTERESTS</w:t>
            </w:r>
            <w:r w:rsidR="009E0874" w:rsidRPr="000849D9">
              <w:rPr>
                <w:rStyle w:val="Strong"/>
                <w:rFonts w:ascii="Calibri" w:hAnsi="Calibri" w:cs="Calibri"/>
                <w:sz w:val="20"/>
                <w:szCs w:val="20"/>
              </w:rPr>
              <w:t>:</w:t>
            </w:r>
          </w:p>
        </w:tc>
      </w:tr>
      <w:tr w:rsidR="000849D9" w:rsidRPr="000849D9" w:rsidTr="000849D9">
        <w:tc>
          <w:tcPr>
            <w:tcW w:w="10430" w:type="dxa"/>
          </w:tcPr>
          <w:p w:rsidR="000849D9" w:rsidRPr="000849D9" w:rsidRDefault="000849D9" w:rsidP="009C7360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/>
              </w:rPr>
            </w:pPr>
            <w:r w:rsidRPr="000849D9">
              <w:rPr>
                <w:rFonts w:ascii="Calibri" w:hAnsi="Calibri" w:cs="Calibri"/>
              </w:rPr>
              <w:t>.</w:t>
            </w:r>
            <w:r w:rsidR="001771C4">
              <w:rPr>
                <w:rFonts w:ascii="Calibri" w:hAnsi="Calibri" w:cs="Calibri"/>
              </w:rPr>
              <w:t xml:space="preserve">Reading, </w:t>
            </w:r>
            <w:r w:rsidR="009C7360">
              <w:rPr>
                <w:rFonts w:ascii="Calibri" w:hAnsi="Calibri" w:cs="Calibri"/>
              </w:rPr>
              <w:t>Running</w:t>
            </w:r>
            <w:r w:rsidR="001771C4">
              <w:rPr>
                <w:rFonts w:ascii="Calibri" w:hAnsi="Calibri" w:cs="Calibri"/>
              </w:rPr>
              <w:t xml:space="preserve">, </w:t>
            </w:r>
            <w:r w:rsidR="00D01626">
              <w:rPr>
                <w:rFonts w:ascii="Calibri" w:hAnsi="Calibri" w:cs="Calibri"/>
              </w:rPr>
              <w:t>Travelling, Football, Motor racing, Sudoku</w:t>
            </w:r>
            <w:r w:rsidR="009C7360">
              <w:rPr>
                <w:rFonts w:ascii="Calibri" w:hAnsi="Calibri" w:cs="Calibri"/>
              </w:rPr>
              <w:t xml:space="preserve">, socializing with friends and family </w:t>
            </w:r>
          </w:p>
        </w:tc>
      </w:tr>
    </w:tbl>
    <w:p w:rsidR="000849D9" w:rsidRPr="003D4FC5" w:rsidRDefault="000849D9" w:rsidP="00B6190B">
      <w:pPr>
        <w:ind w:left="90"/>
        <w:rPr>
          <w:sz w:val="20"/>
          <w:szCs w:val="20"/>
        </w:rPr>
      </w:pPr>
    </w:p>
    <w:tbl>
      <w:tblPr>
        <w:tblStyle w:val="TableGrid"/>
        <w:tblW w:w="0" w:type="auto"/>
        <w:tblInd w:w="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430"/>
      </w:tblGrid>
      <w:tr w:rsidR="0039781E" w:rsidRPr="003D4FC5" w:rsidTr="00136115">
        <w:tc>
          <w:tcPr>
            <w:tcW w:w="10430" w:type="dxa"/>
            <w:shd w:val="clear" w:color="auto" w:fill="D9D9D9" w:themeFill="background1" w:themeFillShade="D9"/>
          </w:tcPr>
          <w:p w:rsidR="0039781E" w:rsidRPr="003D4FC5" w:rsidRDefault="009E0874" w:rsidP="00D0600E">
            <w:pPr>
              <w:rPr>
                <w:b/>
                <w:sz w:val="20"/>
                <w:szCs w:val="20"/>
              </w:rPr>
            </w:pPr>
            <w:r w:rsidRPr="003D4FC5">
              <w:rPr>
                <w:rStyle w:val="Strong"/>
                <w:rFonts w:cs="Calibri"/>
                <w:sz w:val="20"/>
                <w:szCs w:val="20"/>
              </w:rPr>
              <w:t>EDUCATION &amp; CERTIFICATIONS:</w:t>
            </w:r>
          </w:p>
        </w:tc>
      </w:tr>
      <w:tr w:rsidR="00104BE0" w:rsidRPr="003D4FC5" w:rsidTr="006142B7">
        <w:tc>
          <w:tcPr>
            <w:tcW w:w="10430" w:type="dxa"/>
          </w:tcPr>
          <w:p w:rsidR="00104BE0" w:rsidRPr="003D4FC5" w:rsidRDefault="00125432" w:rsidP="00104BE0">
            <w:pPr>
              <w:numPr>
                <w:ilvl w:val="0"/>
                <w:numId w:val="9"/>
              </w:num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Jan 2013 </w:t>
            </w:r>
            <w:r w:rsidR="00C70DAC">
              <w:rPr>
                <w:rFonts w:cs="Calibri"/>
                <w:sz w:val="20"/>
                <w:szCs w:val="20"/>
              </w:rPr>
              <w:t>Master’s</w:t>
            </w:r>
            <w:r>
              <w:rPr>
                <w:rFonts w:cs="Calibri"/>
                <w:sz w:val="20"/>
                <w:szCs w:val="20"/>
              </w:rPr>
              <w:t xml:space="preserve"> Degree – Business Administration – Spjain </w:t>
            </w:r>
            <w:r w:rsidR="00110676">
              <w:rPr>
                <w:rFonts w:cs="Calibri"/>
                <w:sz w:val="20"/>
                <w:szCs w:val="20"/>
              </w:rPr>
              <w:t xml:space="preserve">School of Global Management – </w:t>
            </w:r>
            <w:r>
              <w:rPr>
                <w:rFonts w:cs="Calibri"/>
                <w:sz w:val="20"/>
                <w:szCs w:val="20"/>
              </w:rPr>
              <w:t>Dubai</w:t>
            </w:r>
          </w:p>
          <w:p w:rsidR="00104BE0" w:rsidRPr="003D4FC5" w:rsidRDefault="00110676" w:rsidP="00110676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April 2007 </w:t>
            </w:r>
            <w:r w:rsidR="00C70DAC">
              <w:rPr>
                <w:rFonts w:cs="Calibri"/>
                <w:sz w:val="20"/>
                <w:szCs w:val="20"/>
              </w:rPr>
              <w:t>Bachelor’s</w:t>
            </w:r>
            <w:r w:rsidR="00EC738C">
              <w:rPr>
                <w:rFonts w:cs="Calibri"/>
                <w:sz w:val="20"/>
                <w:szCs w:val="20"/>
              </w:rPr>
              <w:t xml:space="preserve"> Degree</w:t>
            </w:r>
            <w:r>
              <w:rPr>
                <w:rFonts w:cs="Calibri"/>
                <w:sz w:val="20"/>
                <w:szCs w:val="20"/>
              </w:rPr>
              <w:t xml:space="preserve"> – Business Administration – Hisar University – </w:t>
            </w:r>
            <w:r w:rsidRPr="00110676">
              <w:rPr>
                <w:rFonts w:cs="Calibri"/>
                <w:sz w:val="20"/>
                <w:szCs w:val="20"/>
              </w:rPr>
              <w:t>Delhi</w:t>
            </w:r>
          </w:p>
          <w:p w:rsidR="002658B4" w:rsidRPr="00110676" w:rsidRDefault="00110676" w:rsidP="00110676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School</w:t>
            </w:r>
          </w:p>
        </w:tc>
      </w:tr>
    </w:tbl>
    <w:p w:rsidR="0039781E" w:rsidRPr="003D4FC5" w:rsidRDefault="0039781E" w:rsidP="00110676">
      <w:pPr>
        <w:rPr>
          <w:sz w:val="20"/>
          <w:szCs w:val="20"/>
        </w:rPr>
      </w:pPr>
    </w:p>
    <w:tbl>
      <w:tblPr>
        <w:tblStyle w:val="TableGrid"/>
        <w:tblW w:w="0" w:type="auto"/>
        <w:tblInd w:w="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5"/>
        <w:gridCol w:w="1738"/>
        <w:gridCol w:w="3477"/>
      </w:tblGrid>
      <w:tr w:rsidR="00104BE0" w:rsidRPr="003D4FC5" w:rsidTr="00136115">
        <w:tc>
          <w:tcPr>
            <w:tcW w:w="10430" w:type="dxa"/>
            <w:gridSpan w:val="3"/>
            <w:shd w:val="clear" w:color="auto" w:fill="D9D9D9" w:themeFill="background1" w:themeFillShade="D9"/>
          </w:tcPr>
          <w:p w:rsidR="00104BE0" w:rsidRPr="003D4FC5" w:rsidRDefault="009E0874" w:rsidP="00D0600E">
            <w:pPr>
              <w:rPr>
                <w:b/>
                <w:sz w:val="20"/>
                <w:szCs w:val="20"/>
              </w:rPr>
            </w:pPr>
            <w:r w:rsidRPr="003D4FC5">
              <w:rPr>
                <w:rStyle w:val="Strong"/>
                <w:rFonts w:cs="Calibri"/>
                <w:sz w:val="20"/>
                <w:szCs w:val="20"/>
              </w:rPr>
              <w:t>SOFTWARE &amp; SYSTEMS</w:t>
            </w:r>
          </w:p>
        </w:tc>
      </w:tr>
      <w:tr w:rsidR="00104BE0" w:rsidRPr="003D4FC5" w:rsidTr="006142B7">
        <w:tc>
          <w:tcPr>
            <w:tcW w:w="5215" w:type="dxa"/>
            <w:shd w:val="clear" w:color="auto" w:fill="auto"/>
          </w:tcPr>
          <w:p w:rsidR="00104BE0" w:rsidRPr="003D4FC5" w:rsidRDefault="00F96CE2" w:rsidP="00F96CE2">
            <w:pPr>
              <w:ind w:left="337"/>
              <w:rPr>
                <w:rStyle w:val="Strong"/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Microsoft Office (Excel, Word, Outlook, </w:t>
            </w:r>
            <w:r w:rsidR="00C70DAC">
              <w:rPr>
                <w:sz w:val="20"/>
                <w:szCs w:val="20"/>
              </w:rPr>
              <w:t>PowerPoint</w:t>
            </w:r>
            <w:r w:rsidR="00104BE0" w:rsidRPr="003D4FC5">
              <w:rPr>
                <w:sz w:val="20"/>
                <w:szCs w:val="20"/>
              </w:rPr>
              <w:t>)</w:t>
            </w:r>
          </w:p>
        </w:tc>
        <w:tc>
          <w:tcPr>
            <w:tcW w:w="1738" w:type="dxa"/>
            <w:shd w:val="clear" w:color="auto" w:fill="auto"/>
          </w:tcPr>
          <w:p w:rsidR="00104BE0" w:rsidRPr="003D4FC5" w:rsidRDefault="00125432" w:rsidP="00104BE0">
            <w:pPr>
              <w:ind w:left="360"/>
              <w:rPr>
                <w:rStyle w:val="Strong"/>
                <w:rFonts w:cs="Calibri"/>
                <w:sz w:val="20"/>
                <w:szCs w:val="20"/>
              </w:rPr>
            </w:pPr>
            <w:r>
              <w:t>Emirsal 2</w:t>
            </w:r>
          </w:p>
        </w:tc>
        <w:tc>
          <w:tcPr>
            <w:tcW w:w="3477" w:type="dxa"/>
            <w:shd w:val="clear" w:color="auto" w:fill="auto"/>
          </w:tcPr>
          <w:p w:rsidR="00104BE0" w:rsidRPr="003D4FC5" w:rsidRDefault="00125432" w:rsidP="00125432">
            <w:pPr>
              <w:ind w:left="360"/>
              <w:rPr>
                <w:rStyle w:val="Strong"/>
                <w:rFonts w:cs="Calibri"/>
                <w:sz w:val="20"/>
                <w:szCs w:val="20"/>
              </w:rPr>
            </w:pPr>
            <w:r>
              <w:rPr>
                <w:rStyle w:val="Strong"/>
                <w:rFonts w:cs="Calibri"/>
                <w:b w:val="0"/>
                <w:sz w:val="20"/>
                <w:szCs w:val="20"/>
              </w:rPr>
              <w:t>SAP</w:t>
            </w:r>
          </w:p>
        </w:tc>
      </w:tr>
      <w:tr w:rsidR="00104BE0" w:rsidRPr="003D4FC5" w:rsidTr="006142B7">
        <w:tc>
          <w:tcPr>
            <w:tcW w:w="5215" w:type="dxa"/>
            <w:shd w:val="clear" w:color="auto" w:fill="auto"/>
          </w:tcPr>
          <w:p w:rsidR="00104BE0" w:rsidRPr="00125432" w:rsidRDefault="00125432" w:rsidP="006142B7">
            <w:pPr>
              <w:ind w:left="360"/>
            </w:pPr>
            <w:r w:rsidRPr="00125432">
              <w:t>NSI</w:t>
            </w:r>
          </w:p>
        </w:tc>
        <w:tc>
          <w:tcPr>
            <w:tcW w:w="1738" w:type="dxa"/>
            <w:shd w:val="clear" w:color="auto" w:fill="auto"/>
          </w:tcPr>
          <w:p w:rsidR="00104BE0" w:rsidRPr="00125432" w:rsidRDefault="00125432" w:rsidP="00104BE0">
            <w:pPr>
              <w:ind w:left="360"/>
            </w:pPr>
            <w:r w:rsidRPr="00125432">
              <w:t>Exceed</w:t>
            </w:r>
          </w:p>
        </w:tc>
        <w:tc>
          <w:tcPr>
            <w:tcW w:w="3477" w:type="dxa"/>
            <w:shd w:val="clear" w:color="auto" w:fill="auto"/>
          </w:tcPr>
          <w:p w:rsidR="00104BE0" w:rsidRPr="003D4FC5" w:rsidRDefault="00104BE0" w:rsidP="00104BE0">
            <w:pPr>
              <w:ind w:left="360"/>
              <w:rPr>
                <w:rStyle w:val="Strong"/>
                <w:rFonts w:cs="Calibri"/>
                <w:b w:val="0"/>
                <w:sz w:val="20"/>
                <w:szCs w:val="20"/>
              </w:rPr>
            </w:pPr>
          </w:p>
        </w:tc>
      </w:tr>
    </w:tbl>
    <w:p w:rsidR="00747E9D" w:rsidRPr="003D4FC5" w:rsidRDefault="00747E9D" w:rsidP="00747E9D">
      <w:pPr>
        <w:ind w:left="360"/>
        <w:rPr>
          <w:rFonts w:cs="Calibri"/>
          <w:sz w:val="20"/>
          <w:szCs w:val="20"/>
        </w:rPr>
      </w:pPr>
    </w:p>
    <w:tbl>
      <w:tblPr>
        <w:tblStyle w:val="TableGrid"/>
        <w:tblW w:w="0" w:type="auto"/>
        <w:tblInd w:w="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85"/>
        <w:gridCol w:w="3486"/>
        <w:gridCol w:w="3259"/>
      </w:tblGrid>
      <w:tr w:rsidR="006142B7" w:rsidRPr="003D4FC5" w:rsidTr="00E57978">
        <w:tc>
          <w:tcPr>
            <w:tcW w:w="10430" w:type="dxa"/>
            <w:gridSpan w:val="3"/>
            <w:shd w:val="clear" w:color="auto" w:fill="D9D9D9" w:themeFill="background1" w:themeFillShade="D9"/>
          </w:tcPr>
          <w:p w:rsidR="006142B7" w:rsidRPr="003D4FC5" w:rsidRDefault="009E0874" w:rsidP="00D0600E">
            <w:pPr>
              <w:rPr>
                <w:b/>
                <w:sz w:val="20"/>
                <w:szCs w:val="20"/>
              </w:rPr>
            </w:pPr>
            <w:r w:rsidRPr="003D4FC5">
              <w:rPr>
                <w:rStyle w:val="Strong"/>
                <w:rFonts w:cs="Calibri"/>
                <w:sz w:val="20"/>
                <w:szCs w:val="20"/>
              </w:rPr>
              <w:t>CONTACT  &amp; STATUS</w:t>
            </w:r>
          </w:p>
        </w:tc>
      </w:tr>
      <w:tr w:rsidR="006142B7" w:rsidRPr="003D4FC5" w:rsidTr="00E57978">
        <w:tc>
          <w:tcPr>
            <w:tcW w:w="3685" w:type="dxa"/>
            <w:shd w:val="clear" w:color="auto" w:fill="auto"/>
          </w:tcPr>
          <w:p w:rsidR="006142B7" w:rsidRPr="003D4FC5" w:rsidRDefault="006142B7" w:rsidP="00110676">
            <w:pPr>
              <w:ind w:left="337"/>
              <w:rPr>
                <w:rStyle w:val="Strong"/>
                <w:rFonts w:cs="Calibri"/>
                <w:sz w:val="20"/>
                <w:szCs w:val="20"/>
              </w:rPr>
            </w:pPr>
          </w:p>
        </w:tc>
        <w:tc>
          <w:tcPr>
            <w:tcW w:w="3486" w:type="dxa"/>
            <w:shd w:val="clear" w:color="auto" w:fill="auto"/>
          </w:tcPr>
          <w:p w:rsidR="006142B7" w:rsidRPr="003D4FC5" w:rsidRDefault="00110676" w:rsidP="00110676">
            <w:pPr>
              <w:ind w:left="360"/>
              <w:rPr>
                <w:rStyle w:val="Strong"/>
                <w:rFonts w:cs="Calibri"/>
                <w:sz w:val="20"/>
                <w:szCs w:val="20"/>
              </w:rPr>
            </w:pPr>
            <w:r w:rsidRPr="003D4FC5">
              <w:rPr>
                <w:rFonts w:eastAsia="Calibri" w:cs="Calibri"/>
                <w:color w:val="000000"/>
                <w:sz w:val="20"/>
                <w:szCs w:val="20"/>
              </w:rPr>
              <w:t xml:space="preserve">Nationality: </w:t>
            </w:r>
            <w:r>
              <w:rPr>
                <w:rFonts w:eastAsia="Calibri" w:cs="Calibri"/>
                <w:color w:val="000000"/>
                <w:sz w:val="20"/>
                <w:szCs w:val="20"/>
              </w:rPr>
              <w:t>Indian</w:t>
            </w:r>
          </w:p>
        </w:tc>
        <w:tc>
          <w:tcPr>
            <w:tcW w:w="3259" w:type="dxa"/>
            <w:shd w:val="clear" w:color="auto" w:fill="auto"/>
          </w:tcPr>
          <w:p w:rsidR="006142B7" w:rsidRPr="003D4FC5" w:rsidRDefault="00110676" w:rsidP="00D0600E">
            <w:pPr>
              <w:ind w:left="360"/>
              <w:rPr>
                <w:rStyle w:val="Strong"/>
                <w:rFonts w:cs="Calibri"/>
                <w:sz w:val="20"/>
                <w:szCs w:val="20"/>
              </w:rPr>
            </w:pPr>
            <w:r w:rsidRPr="003D4FC5">
              <w:rPr>
                <w:rFonts w:eastAsia="Calibri" w:cs="Calibri"/>
                <w:color w:val="000000"/>
                <w:sz w:val="20"/>
                <w:szCs w:val="20"/>
              </w:rPr>
              <w:t xml:space="preserve">Availability : </w:t>
            </w:r>
            <w:r>
              <w:rPr>
                <w:rFonts w:eastAsia="Calibri" w:cs="Calibri"/>
                <w:color w:val="000000"/>
                <w:sz w:val="20"/>
                <w:szCs w:val="20"/>
              </w:rPr>
              <w:t xml:space="preserve">2 </w:t>
            </w:r>
            <w:r w:rsidR="00C70DAC">
              <w:rPr>
                <w:rFonts w:eastAsia="Calibri" w:cs="Calibri"/>
                <w:color w:val="000000"/>
                <w:sz w:val="20"/>
                <w:szCs w:val="20"/>
              </w:rPr>
              <w:t>month’s notice</w:t>
            </w:r>
          </w:p>
        </w:tc>
      </w:tr>
      <w:tr w:rsidR="00110676" w:rsidRPr="003D4FC5" w:rsidTr="00E57978">
        <w:tc>
          <w:tcPr>
            <w:tcW w:w="3685" w:type="dxa"/>
            <w:shd w:val="clear" w:color="auto" w:fill="auto"/>
          </w:tcPr>
          <w:p w:rsidR="00110676" w:rsidRPr="003D4FC5" w:rsidRDefault="00110676" w:rsidP="00110676">
            <w:pPr>
              <w:ind w:left="360"/>
              <w:rPr>
                <w:rStyle w:val="Strong"/>
                <w:rFonts w:cs="Calibri"/>
                <w:sz w:val="20"/>
                <w:szCs w:val="20"/>
              </w:rPr>
            </w:pPr>
          </w:p>
        </w:tc>
        <w:tc>
          <w:tcPr>
            <w:tcW w:w="3486" w:type="dxa"/>
            <w:shd w:val="clear" w:color="auto" w:fill="auto"/>
          </w:tcPr>
          <w:p w:rsidR="00110676" w:rsidRPr="003D4FC5" w:rsidRDefault="00110676" w:rsidP="001771C4">
            <w:pPr>
              <w:rPr>
                <w:sz w:val="20"/>
                <w:szCs w:val="20"/>
              </w:rPr>
            </w:pPr>
          </w:p>
        </w:tc>
        <w:tc>
          <w:tcPr>
            <w:tcW w:w="3259" w:type="dxa"/>
            <w:shd w:val="clear" w:color="auto" w:fill="auto"/>
          </w:tcPr>
          <w:p w:rsidR="00110676" w:rsidRPr="003D4FC5" w:rsidRDefault="00110676" w:rsidP="00110676">
            <w:pPr>
              <w:ind w:left="360"/>
              <w:rPr>
                <w:rStyle w:val="Strong"/>
                <w:rFonts w:cs="Calibri"/>
                <w:b w:val="0"/>
                <w:sz w:val="20"/>
                <w:szCs w:val="20"/>
              </w:rPr>
            </w:pPr>
          </w:p>
        </w:tc>
      </w:tr>
      <w:tr w:rsidR="00E57978" w:rsidRPr="003D4FC5" w:rsidTr="00E57978">
        <w:trPr>
          <w:gridAfter w:val="1"/>
          <w:wAfter w:w="3259" w:type="dxa"/>
        </w:trPr>
        <w:tc>
          <w:tcPr>
            <w:tcW w:w="3685" w:type="dxa"/>
            <w:shd w:val="clear" w:color="auto" w:fill="auto"/>
          </w:tcPr>
          <w:p w:rsidR="00E57978" w:rsidRPr="003D4FC5" w:rsidRDefault="00E57978" w:rsidP="00110676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3486" w:type="dxa"/>
            <w:shd w:val="clear" w:color="auto" w:fill="auto"/>
          </w:tcPr>
          <w:p w:rsidR="00E57978" w:rsidRPr="003D4FC5" w:rsidRDefault="00E57978" w:rsidP="00110676">
            <w:pPr>
              <w:ind w:left="360"/>
              <w:rPr>
                <w:sz w:val="20"/>
                <w:szCs w:val="20"/>
              </w:rPr>
            </w:pPr>
          </w:p>
        </w:tc>
      </w:tr>
      <w:tr w:rsidR="00E57978" w:rsidRPr="003D4FC5" w:rsidTr="00E57978">
        <w:trPr>
          <w:gridAfter w:val="1"/>
          <w:wAfter w:w="3259" w:type="dxa"/>
        </w:trPr>
        <w:tc>
          <w:tcPr>
            <w:tcW w:w="3685" w:type="dxa"/>
            <w:shd w:val="clear" w:color="auto" w:fill="auto"/>
          </w:tcPr>
          <w:p w:rsidR="00E57978" w:rsidRDefault="00E57978" w:rsidP="00D01626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Languages: </w:t>
            </w:r>
          </w:p>
          <w:p w:rsidR="00E57978" w:rsidRDefault="00E57978" w:rsidP="00D01626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English, fluent</w:t>
            </w:r>
          </w:p>
          <w:p w:rsidR="00E57978" w:rsidRDefault="00E57978" w:rsidP="00D01626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Hindi, Fluent</w:t>
            </w:r>
          </w:p>
          <w:p w:rsidR="00E57978" w:rsidRDefault="00E57978" w:rsidP="00D01626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Sindhi, Fluent</w:t>
            </w:r>
          </w:p>
          <w:p w:rsidR="007D6BDC" w:rsidRDefault="00E57978" w:rsidP="007D6BDC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Punjabi, Fluent</w:t>
            </w:r>
          </w:p>
          <w:p w:rsidR="00E57978" w:rsidRPr="003D4FC5" w:rsidRDefault="00E57978" w:rsidP="007D6BDC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Arabic, Basic</w:t>
            </w:r>
          </w:p>
        </w:tc>
        <w:tc>
          <w:tcPr>
            <w:tcW w:w="3486" w:type="dxa"/>
            <w:shd w:val="clear" w:color="auto" w:fill="auto"/>
          </w:tcPr>
          <w:p w:rsidR="00E57978" w:rsidRDefault="00E57978" w:rsidP="004E14A1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Professional Reference:</w:t>
            </w:r>
          </w:p>
          <w:p w:rsidR="00E57978" w:rsidRDefault="007D6BDC" w:rsidP="004E14A1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James Stott </w:t>
            </w:r>
            <w:r w:rsidR="00E57978">
              <w:rPr>
                <w:sz w:val="20"/>
                <w:szCs w:val="20"/>
              </w:rPr>
              <w:t>Logistics &amp;</w:t>
            </w:r>
            <w:r w:rsidR="00D45A43">
              <w:rPr>
                <w:sz w:val="20"/>
                <w:szCs w:val="20"/>
              </w:rPr>
              <w:t xml:space="preserve"> Compliance Manager – Baker Hughes</w:t>
            </w:r>
          </w:p>
          <w:p w:rsidR="00E57978" w:rsidRPr="003D4FC5" w:rsidRDefault="00E57978" w:rsidP="00976E26">
            <w:pPr>
              <w:ind w:left="360"/>
              <w:rPr>
                <w:sz w:val="20"/>
                <w:szCs w:val="20"/>
              </w:rPr>
            </w:pPr>
          </w:p>
        </w:tc>
      </w:tr>
    </w:tbl>
    <w:p w:rsidR="00747E9D" w:rsidRPr="003D4FC5" w:rsidRDefault="00747E9D" w:rsidP="00E57978">
      <w:pPr>
        <w:rPr>
          <w:sz w:val="20"/>
          <w:szCs w:val="20"/>
        </w:rPr>
      </w:pPr>
    </w:p>
    <w:sectPr w:rsidR="00747E9D" w:rsidRPr="003D4FC5" w:rsidSect="00601AEB">
      <w:pgSz w:w="12240" w:h="15840"/>
      <w:pgMar w:top="630" w:right="810" w:bottom="63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F5C74"/>
    <w:multiLevelType w:val="hybridMultilevel"/>
    <w:tmpl w:val="3E54A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674E6"/>
    <w:multiLevelType w:val="hybridMultilevel"/>
    <w:tmpl w:val="E26AB86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20B334D6"/>
    <w:multiLevelType w:val="hybridMultilevel"/>
    <w:tmpl w:val="C6B8337C"/>
    <w:lvl w:ilvl="0" w:tplc="928C97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1F0675"/>
    <w:multiLevelType w:val="hybridMultilevel"/>
    <w:tmpl w:val="AED810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31709F"/>
    <w:multiLevelType w:val="hybridMultilevel"/>
    <w:tmpl w:val="FA72947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CC764E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6D06CF0"/>
    <w:multiLevelType w:val="hybridMultilevel"/>
    <w:tmpl w:val="1C0EB41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7BA628E"/>
    <w:multiLevelType w:val="hybridMultilevel"/>
    <w:tmpl w:val="3A482B6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E597C36"/>
    <w:multiLevelType w:val="hybridMultilevel"/>
    <w:tmpl w:val="D2BC1D2E"/>
    <w:lvl w:ilvl="0" w:tplc="B05C46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C560DC"/>
    <w:multiLevelType w:val="hybridMultilevel"/>
    <w:tmpl w:val="124672C2"/>
    <w:lvl w:ilvl="0" w:tplc="23365A5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AC90ACEE">
      <w:start w:val="1"/>
      <w:numFmt w:val="bullet"/>
      <w:lvlText w:val=""/>
      <w:lvlJc w:val="left"/>
      <w:pPr>
        <w:tabs>
          <w:tab w:val="num" w:pos="1800"/>
        </w:tabs>
        <w:ind w:left="1800" w:hanging="720"/>
      </w:pPr>
      <w:rPr>
        <w:rFonts w:ascii="Wingdings" w:hAnsi="Wingdings" w:hint="default"/>
        <w:b/>
      </w:rPr>
    </w:lvl>
    <w:lvl w:ilvl="2" w:tplc="DC6470FC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D26479C"/>
    <w:multiLevelType w:val="hybridMultilevel"/>
    <w:tmpl w:val="FB9C2F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DC7A91"/>
    <w:multiLevelType w:val="hybridMultilevel"/>
    <w:tmpl w:val="E0548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A0520C"/>
    <w:multiLevelType w:val="hybridMultilevel"/>
    <w:tmpl w:val="B6A8CC68"/>
    <w:lvl w:ilvl="0" w:tplc="B05C46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63734F"/>
    <w:multiLevelType w:val="hybridMultilevel"/>
    <w:tmpl w:val="E542C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673CD9"/>
    <w:multiLevelType w:val="hybridMultilevel"/>
    <w:tmpl w:val="37D69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D57CFF"/>
    <w:multiLevelType w:val="hybridMultilevel"/>
    <w:tmpl w:val="0B424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493103"/>
    <w:multiLevelType w:val="hybridMultilevel"/>
    <w:tmpl w:val="1D8E31C6"/>
    <w:lvl w:ilvl="0" w:tplc="B05C46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361209"/>
    <w:multiLevelType w:val="hybridMultilevel"/>
    <w:tmpl w:val="F36036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10"/>
  </w:num>
  <w:num w:numId="4">
    <w:abstractNumId w:val="15"/>
  </w:num>
  <w:num w:numId="5">
    <w:abstractNumId w:val="5"/>
  </w:num>
  <w:num w:numId="6">
    <w:abstractNumId w:val="17"/>
  </w:num>
  <w:num w:numId="7">
    <w:abstractNumId w:val="11"/>
  </w:num>
  <w:num w:numId="8">
    <w:abstractNumId w:val="6"/>
  </w:num>
  <w:num w:numId="9">
    <w:abstractNumId w:val="0"/>
  </w:num>
  <w:num w:numId="10">
    <w:abstractNumId w:val="13"/>
  </w:num>
  <w:num w:numId="11">
    <w:abstractNumId w:val="7"/>
  </w:num>
  <w:num w:numId="12">
    <w:abstractNumId w:val="1"/>
  </w:num>
  <w:num w:numId="13">
    <w:abstractNumId w:val="8"/>
  </w:num>
  <w:num w:numId="14">
    <w:abstractNumId w:val="9"/>
  </w:num>
  <w:num w:numId="15">
    <w:abstractNumId w:val="4"/>
  </w:num>
  <w:num w:numId="16">
    <w:abstractNumId w:val="2"/>
  </w:num>
  <w:num w:numId="17">
    <w:abstractNumId w:val="16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B6190B"/>
    <w:rsid w:val="00000610"/>
    <w:rsid w:val="000849D9"/>
    <w:rsid w:val="00104BE0"/>
    <w:rsid w:val="00110676"/>
    <w:rsid w:val="0012374B"/>
    <w:rsid w:val="00125432"/>
    <w:rsid w:val="001306EB"/>
    <w:rsid w:val="00136115"/>
    <w:rsid w:val="00136478"/>
    <w:rsid w:val="001771C4"/>
    <w:rsid w:val="00205CE6"/>
    <w:rsid w:val="00230033"/>
    <w:rsid w:val="0024460D"/>
    <w:rsid w:val="002658B4"/>
    <w:rsid w:val="002D1F71"/>
    <w:rsid w:val="00317CDF"/>
    <w:rsid w:val="003814BE"/>
    <w:rsid w:val="00395E35"/>
    <w:rsid w:val="0039781E"/>
    <w:rsid w:val="003B4EC7"/>
    <w:rsid w:val="003D4FC5"/>
    <w:rsid w:val="004033FC"/>
    <w:rsid w:val="004C1A1A"/>
    <w:rsid w:val="004F7CBB"/>
    <w:rsid w:val="005F5CB8"/>
    <w:rsid w:val="005F71A1"/>
    <w:rsid w:val="00601AEB"/>
    <w:rsid w:val="006142B7"/>
    <w:rsid w:val="00615C7E"/>
    <w:rsid w:val="00640197"/>
    <w:rsid w:val="0067115A"/>
    <w:rsid w:val="00676BDF"/>
    <w:rsid w:val="006F158F"/>
    <w:rsid w:val="00747E9D"/>
    <w:rsid w:val="00755009"/>
    <w:rsid w:val="007A4194"/>
    <w:rsid w:val="007D6BDC"/>
    <w:rsid w:val="00874389"/>
    <w:rsid w:val="0097503C"/>
    <w:rsid w:val="00976E26"/>
    <w:rsid w:val="00982702"/>
    <w:rsid w:val="009C7360"/>
    <w:rsid w:val="009E0874"/>
    <w:rsid w:val="00A507C1"/>
    <w:rsid w:val="00A62D75"/>
    <w:rsid w:val="00A93396"/>
    <w:rsid w:val="00AF24EA"/>
    <w:rsid w:val="00B3149B"/>
    <w:rsid w:val="00B6190B"/>
    <w:rsid w:val="00BA5C31"/>
    <w:rsid w:val="00BF1546"/>
    <w:rsid w:val="00C41477"/>
    <w:rsid w:val="00C70DAC"/>
    <w:rsid w:val="00D01626"/>
    <w:rsid w:val="00D054B6"/>
    <w:rsid w:val="00D45A43"/>
    <w:rsid w:val="00DC2FB9"/>
    <w:rsid w:val="00DD6AF2"/>
    <w:rsid w:val="00DF6091"/>
    <w:rsid w:val="00E57978"/>
    <w:rsid w:val="00EB3A26"/>
    <w:rsid w:val="00EB5E9F"/>
    <w:rsid w:val="00EC738C"/>
    <w:rsid w:val="00EF3DA1"/>
    <w:rsid w:val="00EF5812"/>
    <w:rsid w:val="00F11E77"/>
    <w:rsid w:val="00F219D6"/>
    <w:rsid w:val="00F96CE2"/>
    <w:rsid w:val="00FA5A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E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B6190B"/>
    <w:rPr>
      <w:b/>
    </w:rPr>
  </w:style>
  <w:style w:type="paragraph" w:styleId="ListParagraph">
    <w:name w:val="List Paragraph"/>
    <w:basedOn w:val="Normal"/>
    <w:uiPriority w:val="34"/>
    <w:qFormat/>
    <w:rsid w:val="00395E3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text">
    <w:name w:val="text"/>
    <w:rsid w:val="00395E35"/>
  </w:style>
  <w:style w:type="paragraph" w:styleId="BodyText2">
    <w:name w:val="Body Text 2"/>
    <w:basedOn w:val="Normal"/>
    <w:link w:val="BodyText2Char"/>
    <w:rsid w:val="00F11E77"/>
    <w:pPr>
      <w:spacing w:after="0" w:line="240" w:lineRule="auto"/>
    </w:pPr>
    <w:rPr>
      <w:rFonts w:ascii="Times New Roman" w:eastAsia="Times New Roman" w:hAnsi="Times New Roman" w:cs="Times New Roman"/>
      <w:i/>
      <w:szCs w:val="20"/>
    </w:rPr>
  </w:style>
  <w:style w:type="character" w:customStyle="1" w:styleId="BodyText2Char">
    <w:name w:val="Body Text 2 Char"/>
    <w:basedOn w:val="DefaultParagraphFont"/>
    <w:link w:val="BodyText2"/>
    <w:rsid w:val="00F11E77"/>
    <w:rPr>
      <w:rFonts w:ascii="Times New Roman" w:eastAsia="Times New Roman" w:hAnsi="Times New Roman" w:cs="Times New Roman"/>
      <w:i/>
      <w:szCs w:val="20"/>
    </w:rPr>
  </w:style>
  <w:style w:type="table" w:styleId="TableGrid">
    <w:name w:val="Table Grid"/>
    <w:basedOn w:val="TableNormal"/>
    <w:uiPriority w:val="39"/>
    <w:rsid w:val="001237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E087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61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115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317CDF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aresh.376443@2free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9C220D-57D7-4FF9-A407-6073B27BB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3</Pages>
  <Words>845</Words>
  <Characters>4820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Richemont International SA</Company>
  <LinksUpToDate>false</LinksUpToDate>
  <CharactersWithSpaces>5654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taresh.sharma@richemont.com</dc:creator>
  <cp:lastModifiedBy>HRDESK4</cp:lastModifiedBy>
  <cp:revision>16</cp:revision>
  <cp:lastPrinted>2018-01-20T14:57:00Z</cp:lastPrinted>
  <dcterms:created xsi:type="dcterms:W3CDTF">2017-01-15T07:19:00Z</dcterms:created>
  <dcterms:modified xsi:type="dcterms:W3CDTF">2018-02-24T09:30:00Z</dcterms:modified>
</cp:coreProperties>
</file>