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61" w:rsidRDefault="00884FB6">
      <w:pPr>
        <w:rPr>
          <w:sz w:val="20"/>
          <w:szCs w:val="20"/>
        </w:rPr>
      </w:pPr>
      <w:r>
        <w:rPr>
          <w:rFonts w:ascii="Castellar" w:eastAsia="Castellar" w:hAnsi="Castellar" w:cs="Castellar"/>
          <w:b/>
          <w:bCs/>
          <w:noProof/>
          <w:sz w:val="44"/>
          <w:szCs w:val="4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5686425</wp:posOffset>
            </wp:positionH>
            <wp:positionV relativeFrom="page">
              <wp:posOffset>666750</wp:posOffset>
            </wp:positionV>
            <wp:extent cx="1249680" cy="1438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stellar" w:eastAsia="Castellar" w:hAnsi="Castellar" w:cs="Castellar"/>
          <w:b/>
          <w:bCs/>
          <w:sz w:val="44"/>
          <w:szCs w:val="44"/>
        </w:rPr>
        <w:t>FAHIM</w:t>
      </w:r>
      <w:r>
        <w:rPr>
          <w:rFonts w:ascii="Castellar" w:eastAsia="Castellar" w:hAnsi="Castellar" w:cs="Castellar"/>
          <w:b/>
          <w:bCs/>
          <w:sz w:val="31"/>
          <w:szCs w:val="31"/>
        </w:rPr>
        <w:t>–</w:t>
      </w:r>
      <w:r>
        <w:rPr>
          <w:rFonts w:ascii="Castellar" w:eastAsia="Castellar" w:hAnsi="Castellar" w:cs="Castellar"/>
          <w:b/>
          <w:bCs/>
          <w:sz w:val="44"/>
          <w:szCs w:val="44"/>
        </w:rPr>
        <w:t xml:space="preserve"> </w:t>
      </w:r>
      <w:r>
        <w:rPr>
          <w:rFonts w:ascii="Castellar" w:eastAsia="Castellar" w:hAnsi="Castellar" w:cs="Castellar"/>
          <w:b/>
          <w:bCs/>
          <w:sz w:val="40"/>
          <w:szCs w:val="40"/>
        </w:rPr>
        <w:t>ACA, APFA</w:t>
      </w:r>
    </w:p>
    <w:p w:rsidR="003E1A61" w:rsidRDefault="003E1A61">
      <w:pPr>
        <w:spacing w:line="208" w:lineRule="exact"/>
        <w:rPr>
          <w:sz w:val="24"/>
          <w:szCs w:val="24"/>
        </w:rPr>
      </w:pPr>
    </w:p>
    <w:p w:rsidR="003E1A61" w:rsidRDefault="00884FB6">
      <w:pPr>
        <w:rPr>
          <w:sz w:val="20"/>
          <w:szCs w:val="20"/>
        </w:rPr>
      </w:pPr>
      <w:r>
        <w:rPr>
          <w:rFonts w:eastAsia="Times New Roman"/>
        </w:rPr>
        <w:t>Khobar, Kingdom of Saudi Arabia</w:t>
      </w:r>
    </w:p>
    <w:p w:rsidR="003E1A61" w:rsidRDefault="00884FB6">
      <w:pPr>
        <w:rPr>
          <w:sz w:val="20"/>
          <w:szCs w:val="20"/>
        </w:rPr>
      </w:pPr>
      <w:r>
        <w:rPr>
          <w:rFonts w:eastAsia="Times New Roman"/>
        </w:rPr>
        <w:t xml:space="preserve">Mobile No: </w:t>
      </w:r>
      <w:r w:rsidR="00C13ECA">
        <w:rPr>
          <w:rFonts w:eastAsia="Times New Roman"/>
        </w:rPr>
        <w:t>C/o 971501685421</w:t>
      </w:r>
    </w:p>
    <w:p w:rsidR="003E1A61" w:rsidRPr="00C13ECA" w:rsidRDefault="00884FB6">
      <w:pPr>
        <w:spacing w:line="233" w:lineRule="auto"/>
        <w:rPr>
          <w:sz w:val="20"/>
          <w:szCs w:val="20"/>
        </w:rPr>
      </w:pPr>
      <w:r>
        <w:rPr>
          <w:rFonts w:eastAsia="Times New Roman"/>
        </w:rPr>
        <w:t xml:space="preserve">Email:  </w:t>
      </w:r>
      <w:hyperlink r:id="rId6" w:history="1">
        <w:r w:rsidR="00C13ECA" w:rsidRPr="0041517B">
          <w:rPr>
            <w:rStyle w:val="Hyperlink"/>
            <w:rFonts w:eastAsia="Times New Roman"/>
          </w:rPr>
          <w:t>fahim.377768@2freemail.com</w:t>
        </w:r>
      </w:hyperlink>
      <w:r w:rsidR="00C13ECA">
        <w:rPr>
          <w:rFonts w:eastAsia="Times New Roman"/>
          <w:color w:val="0000FF"/>
        </w:rPr>
        <w:t xml:space="preserve"> </w:t>
      </w:r>
    </w:p>
    <w:p w:rsidR="003E1A61" w:rsidRDefault="003E1A61">
      <w:pPr>
        <w:spacing w:line="256" w:lineRule="exact"/>
        <w:rPr>
          <w:sz w:val="24"/>
          <w:szCs w:val="24"/>
        </w:rPr>
      </w:pPr>
    </w:p>
    <w:p w:rsidR="003E1A61" w:rsidRDefault="00884FB6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7+ Years of experience (including Big 4 and GCC experience)</w:t>
      </w:r>
    </w:p>
    <w:p w:rsidR="003E1A61" w:rsidRDefault="003E1A6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0;margin-top:20.1pt;width:479.45pt;height:12.75pt;z-index:-251656192;visibility:visible;mso-wrap-distance-left:0;mso-wrap-distance-right:0" o:allowincell="f" fillcolor="silver" stroked="f"/>
        </w:pict>
      </w:r>
    </w:p>
    <w:p w:rsidR="003E1A61" w:rsidRDefault="003E1A61">
      <w:pPr>
        <w:spacing w:line="380" w:lineRule="exact"/>
        <w:rPr>
          <w:sz w:val="24"/>
          <w:szCs w:val="24"/>
        </w:rPr>
      </w:pPr>
    </w:p>
    <w:p w:rsidR="003E1A61" w:rsidRDefault="00884FB6">
      <w:pPr>
        <w:tabs>
          <w:tab w:val="left" w:pos="9520"/>
        </w:tabs>
        <w:rPr>
          <w:sz w:val="20"/>
          <w:szCs w:val="20"/>
        </w:rPr>
      </w:pPr>
      <w:r>
        <w:rPr>
          <w:rFonts w:eastAsia="Times New Roman"/>
          <w:b/>
          <w:bCs/>
        </w:rPr>
        <w:t>OBJECTIVE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BFBFBF"/>
        </w:rPr>
        <w:t>.</w:t>
      </w:r>
    </w:p>
    <w:p w:rsidR="003E1A61" w:rsidRDefault="003E1A61">
      <w:pPr>
        <w:spacing w:line="260" w:lineRule="exact"/>
        <w:rPr>
          <w:sz w:val="24"/>
          <w:szCs w:val="24"/>
        </w:rPr>
      </w:pPr>
    </w:p>
    <w:p w:rsidR="003E1A61" w:rsidRDefault="00884FB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To occupy a challenging position in a dynamic corporate </w:t>
      </w:r>
      <w:r>
        <w:rPr>
          <w:rFonts w:eastAsia="Times New Roman"/>
        </w:rPr>
        <w:t>environment that utilizes my abilities to the optimum level for the mutual best interest of the organization and myself, appropriately rewards performance, offers continuing opportunities for future advancement.</w:t>
      </w:r>
    </w:p>
    <w:p w:rsidR="003E1A61" w:rsidRDefault="003E1A61">
      <w:pPr>
        <w:spacing w:line="39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0"/>
        <w:gridCol w:w="2940"/>
        <w:gridCol w:w="5200"/>
        <w:gridCol w:w="1320"/>
        <w:gridCol w:w="20"/>
      </w:tblGrid>
      <w:tr w:rsidR="003E1A61">
        <w:trPr>
          <w:trHeight w:val="253"/>
        </w:trPr>
        <w:tc>
          <w:tcPr>
            <w:tcW w:w="8320" w:type="dxa"/>
            <w:gridSpan w:val="3"/>
            <w:shd w:val="clear" w:color="auto" w:fill="C0C0C0"/>
            <w:vAlign w:val="bottom"/>
          </w:tcPr>
          <w:p w:rsidR="003E1A61" w:rsidRDefault="00884FB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EDUCATION (PROFESSIONAL AND ACADEMIC)</w:t>
            </w:r>
          </w:p>
        </w:tc>
        <w:tc>
          <w:tcPr>
            <w:tcW w:w="1320" w:type="dxa"/>
            <w:shd w:val="clear" w:color="auto" w:fill="C0C0C0"/>
            <w:vAlign w:val="bottom"/>
          </w:tcPr>
          <w:p w:rsidR="003E1A61" w:rsidRDefault="00884FB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BFBFBF"/>
              </w:rPr>
              <w:t>.</w:t>
            </w:r>
          </w:p>
        </w:tc>
        <w:tc>
          <w:tcPr>
            <w:tcW w:w="0" w:type="dxa"/>
            <w:vAlign w:val="bottom"/>
          </w:tcPr>
          <w:p w:rsidR="003E1A61" w:rsidRDefault="003E1A61">
            <w:pPr>
              <w:rPr>
                <w:sz w:val="1"/>
                <w:szCs w:val="1"/>
              </w:rPr>
            </w:pPr>
          </w:p>
        </w:tc>
      </w:tr>
      <w:tr w:rsidR="003E1A61">
        <w:trPr>
          <w:trHeight w:val="449"/>
        </w:trPr>
        <w:tc>
          <w:tcPr>
            <w:tcW w:w="180" w:type="dxa"/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3E1A61" w:rsidRDefault="00884FB6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QUALIFICATIONS</w:t>
            </w:r>
          </w:p>
        </w:tc>
        <w:tc>
          <w:tcPr>
            <w:tcW w:w="5200" w:type="dxa"/>
            <w:vAlign w:val="bottom"/>
          </w:tcPr>
          <w:p w:rsidR="003E1A61" w:rsidRDefault="00884FB6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AWARDED BY</w:t>
            </w:r>
          </w:p>
        </w:tc>
        <w:tc>
          <w:tcPr>
            <w:tcW w:w="1320" w:type="dxa"/>
            <w:vAlign w:val="bottom"/>
          </w:tcPr>
          <w:p w:rsidR="003E1A61" w:rsidRDefault="00884F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YEAR</w:t>
            </w:r>
          </w:p>
        </w:tc>
        <w:tc>
          <w:tcPr>
            <w:tcW w:w="0" w:type="dxa"/>
            <w:vAlign w:val="bottom"/>
          </w:tcPr>
          <w:p w:rsidR="003E1A61" w:rsidRDefault="003E1A61">
            <w:pPr>
              <w:rPr>
                <w:sz w:val="1"/>
                <w:szCs w:val="1"/>
              </w:rPr>
            </w:pPr>
          </w:p>
        </w:tc>
      </w:tr>
      <w:tr w:rsidR="003E1A61">
        <w:trPr>
          <w:trHeight w:val="62"/>
        </w:trPr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E1A61" w:rsidRDefault="003E1A61">
            <w:pPr>
              <w:rPr>
                <w:sz w:val="5"/>
                <w:szCs w:val="5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3E1A61" w:rsidRDefault="003E1A61">
            <w:pPr>
              <w:rPr>
                <w:sz w:val="5"/>
                <w:szCs w:val="5"/>
              </w:rPr>
            </w:pPr>
          </w:p>
        </w:tc>
        <w:tc>
          <w:tcPr>
            <w:tcW w:w="5200" w:type="dxa"/>
            <w:tcBorders>
              <w:bottom w:val="single" w:sz="8" w:space="0" w:color="auto"/>
            </w:tcBorders>
            <w:vAlign w:val="bottom"/>
          </w:tcPr>
          <w:p w:rsidR="003E1A61" w:rsidRDefault="003E1A61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3E1A61" w:rsidRDefault="003E1A6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1A61" w:rsidRDefault="003E1A61">
            <w:pPr>
              <w:rPr>
                <w:sz w:val="1"/>
                <w:szCs w:val="1"/>
              </w:rPr>
            </w:pPr>
          </w:p>
        </w:tc>
      </w:tr>
      <w:tr w:rsidR="003E1A61">
        <w:trPr>
          <w:trHeight w:val="432"/>
        </w:trPr>
        <w:tc>
          <w:tcPr>
            <w:tcW w:w="180" w:type="dxa"/>
            <w:vAlign w:val="bottom"/>
          </w:tcPr>
          <w:p w:rsidR="003E1A61" w:rsidRDefault="00884FB6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940" w:type="dxa"/>
            <w:vAlign w:val="bottom"/>
          </w:tcPr>
          <w:p w:rsidR="003E1A61" w:rsidRDefault="0088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Chartered Accountant (ACA)</w:t>
            </w:r>
          </w:p>
        </w:tc>
        <w:tc>
          <w:tcPr>
            <w:tcW w:w="5200" w:type="dxa"/>
            <w:vAlign w:val="bottom"/>
          </w:tcPr>
          <w:p w:rsidR="003E1A61" w:rsidRDefault="00884FB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Institute of Chartered Accountants of Pakistan</w:t>
            </w:r>
          </w:p>
        </w:tc>
        <w:tc>
          <w:tcPr>
            <w:tcW w:w="1320" w:type="dxa"/>
            <w:vAlign w:val="bottom"/>
          </w:tcPr>
          <w:p w:rsidR="003E1A61" w:rsidRDefault="00884F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2015</w:t>
            </w:r>
          </w:p>
        </w:tc>
        <w:tc>
          <w:tcPr>
            <w:tcW w:w="0" w:type="dxa"/>
            <w:vAlign w:val="bottom"/>
          </w:tcPr>
          <w:p w:rsidR="003E1A61" w:rsidRDefault="003E1A61">
            <w:pPr>
              <w:rPr>
                <w:sz w:val="1"/>
                <w:szCs w:val="1"/>
              </w:rPr>
            </w:pPr>
          </w:p>
        </w:tc>
      </w:tr>
      <w:tr w:rsidR="003E1A61">
        <w:trPr>
          <w:trHeight w:val="506"/>
        </w:trPr>
        <w:tc>
          <w:tcPr>
            <w:tcW w:w="3120" w:type="dxa"/>
            <w:gridSpan w:val="2"/>
            <w:vAlign w:val="bottom"/>
          </w:tcPr>
          <w:p w:rsidR="003E1A61" w:rsidRDefault="00884FB6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Associate Public and Finance</w:t>
            </w:r>
          </w:p>
        </w:tc>
        <w:tc>
          <w:tcPr>
            <w:tcW w:w="5200" w:type="dxa"/>
            <w:vMerge w:val="restart"/>
            <w:vAlign w:val="bottom"/>
          </w:tcPr>
          <w:p w:rsidR="003E1A61" w:rsidRDefault="00884FB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Pakistan Institute of Public and Finance Accountants</w:t>
            </w:r>
          </w:p>
        </w:tc>
        <w:tc>
          <w:tcPr>
            <w:tcW w:w="1320" w:type="dxa"/>
            <w:vMerge w:val="restart"/>
            <w:vAlign w:val="bottom"/>
          </w:tcPr>
          <w:p w:rsidR="003E1A61" w:rsidRDefault="00884F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2015</w:t>
            </w:r>
          </w:p>
        </w:tc>
        <w:tc>
          <w:tcPr>
            <w:tcW w:w="0" w:type="dxa"/>
            <w:vAlign w:val="bottom"/>
          </w:tcPr>
          <w:p w:rsidR="003E1A61" w:rsidRDefault="003E1A61">
            <w:pPr>
              <w:rPr>
                <w:sz w:val="1"/>
                <w:szCs w:val="1"/>
              </w:rPr>
            </w:pPr>
          </w:p>
        </w:tc>
      </w:tr>
      <w:tr w:rsidR="003E1A61">
        <w:trPr>
          <w:trHeight w:val="118"/>
        </w:trPr>
        <w:tc>
          <w:tcPr>
            <w:tcW w:w="180" w:type="dxa"/>
            <w:vAlign w:val="bottom"/>
          </w:tcPr>
          <w:p w:rsidR="003E1A61" w:rsidRDefault="003E1A61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vMerge w:val="restart"/>
            <w:vAlign w:val="bottom"/>
          </w:tcPr>
          <w:p w:rsidR="003E1A61" w:rsidRDefault="0088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Accountant (APFA-6778)</w:t>
            </w:r>
          </w:p>
        </w:tc>
        <w:tc>
          <w:tcPr>
            <w:tcW w:w="5200" w:type="dxa"/>
            <w:vMerge/>
            <w:vAlign w:val="bottom"/>
          </w:tcPr>
          <w:p w:rsidR="003E1A61" w:rsidRDefault="003E1A61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vAlign w:val="bottom"/>
          </w:tcPr>
          <w:p w:rsidR="003E1A61" w:rsidRDefault="003E1A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1A61" w:rsidRDefault="003E1A61">
            <w:pPr>
              <w:rPr>
                <w:sz w:val="1"/>
                <w:szCs w:val="1"/>
              </w:rPr>
            </w:pPr>
          </w:p>
        </w:tc>
      </w:tr>
      <w:tr w:rsidR="003E1A61">
        <w:trPr>
          <w:trHeight w:val="134"/>
        </w:trPr>
        <w:tc>
          <w:tcPr>
            <w:tcW w:w="180" w:type="dxa"/>
            <w:vAlign w:val="bottom"/>
          </w:tcPr>
          <w:p w:rsidR="003E1A61" w:rsidRDefault="003E1A61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vMerge/>
            <w:vAlign w:val="bottom"/>
          </w:tcPr>
          <w:p w:rsidR="003E1A61" w:rsidRDefault="003E1A61">
            <w:pPr>
              <w:rPr>
                <w:sz w:val="11"/>
                <w:szCs w:val="11"/>
              </w:rPr>
            </w:pPr>
          </w:p>
        </w:tc>
        <w:tc>
          <w:tcPr>
            <w:tcW w:w="5200" w:type="dxa"/>
            <w:vAlign w:val="bottom"/>
          </w:tcPr>
          <w:p w:rsidR="003E1A61" w:rsidRDefault="003E1A61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Align w:val="bottom"/>
          </w:tcPr>
          <w:p w:rsidR="003E1A61" w:rsidRDefault="003E1A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A61" w:rsidRDefault="003E1A61">
            <w:pPr>
              <w:rPr>
                <w:sz w:val="1"/>
                <w:szCs w:val="1"/>
              </w:rPr>
            </w:pPr>
          </w:p>
        </w:tc>
      </w:tr>
      <w:tr w:rsidR="003E1A61">
        <w:trPr>
          <w:trHeight w:val="391"/>
        </w:trPr>
        <w:tc>
          <w:tcPr>
            <w:tcW w:w="180" w:type="dxa"/>
            <w:vAlign w:val="bottom"/>
          </w:tcPr>
          <w:p w:rsidR="003E1A61" w:rsidRDefault="00884FB6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940" w:type="dxa"/>
            <w:vAlign w:val="bottom"/>
          </w:tcPr>
          <w:p w:rsidR="003E1A61" w:rsidRDefault="0088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Masters in Commerce</w:t>
            </w:r>
          </w:p>
        </w:tc>
        <w:tc>
          <w:tcPr>
            <w:tcW w:w="5200" w:type="dxa"/>
            <w:vMerge w:val="restart"/>
            <w:vAlign w:val="bottom"/>
          </w:tcPr>
          <w:p w:rsidR="003E1A61" w:rsidRDefault="00884FB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Higher Education Commission of Pakistan</w:t>
            </w:r>
          </w:p>
        </w:tc>
        <w:tc>
          <w:tcPr>
            <w:tcW w:w="1320" w:type="dxa"/>
            <w:vMerge w:val="restart"/>
            <w:vAlign w:val="bottom"/>
          </w:tcPr>
          <w:p w:rsidR="003E1A61" w:rsidRDefault="00884F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2016</w:t>
            </w:r>
          </w:p>
        </w:tc>
        <w:tc>
          <w:tcPr>
            <w:tcW w:w="0" w:type="dxa"/>
            <w:vAlign w:val="bottom"/>
          </w:tcPr>
          <w:p w:rsidR="003E1A61" w:rsidRDefault="003E1A61">
            <w:pPr>
              <w:rPr>
                <w:sz w:val="1"/>
                <w:szCs w:val="1"/>
              </w:rPr>
            </w:pPr>
          </w:p>
        </w:tc>
      </w:tr>
      <w:tr w:rsidR="003E1A61">
        <w:trPr>
          <w:trHeight w:val="118"/>
        </w:trPr>
        <w:tc>
          <w:tcPr>
            <w:tcW w:w="180" w:type="dxa"/>
            <w:vAlign w:val="bottom"/>
          </w:tcPr>
          <w:p w:rsidR="003E1A61" w:rsidRDefault="003E1A61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vMerge w:val="restart"/>
            <w:vAlign w:val="bottom"/>
          </w:tcPr>
          <w:p w:rsidR="003E1A61" w:rsidRDefault="0088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(Equivalence)</w:t>
            </w:r>
          </w:p>
        </w:tc>
        <w:tc>
          <w:tcPr>
            <w:tcW w:w="5200" w:type="dxa"/>
            <w:vMerge/>
            <w:vAlign w:val="bottom"/>
          </w:tcPr>
          <w:p w:rsidR="003E1A61" w:rsidRDefault="003E1A61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vAlign w:val="bottom"/>
          </w:tcPr>
          <w:p w:rsidR="003E1A61" w:rsidRDefault="003E1A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1A61" w:rsidRDefault="003E1A61">
            <w:pPr>
              <w:rPr>
                <w:sz w:val="1"/>
                <w:szCs w:val="1"/>
              </w:rPr>
            </w:pPr>
          </w:p>
        </w:tc>
      </w:tr>
      <w:tr w:rsidR="003E1A61">
        <w:trPr>
          <w:trHeight w:val="134"/>
        </w:trPr>
        <w:tc>
          <w:tcPr>
            <w:tcW w:w="180" w:type="dxa"/>
            <w:vAlign w:val="bottom"/>
          </w:tcPr>
          <w:p w:rsidR="003E1A61" w:rsidRDefault="003E1A61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vMerge/>
            <w:vAlign w:val="bottom"/>
          </w:tcPr>
          <w:p w:rsidR="003E1A61" w:rsidRDefault="003E1A61">
            <w:pPr>
              <w:rPr>
                <w:sz w:val="11"/>
                <w:szCs w:val="11"/>
              </w:rPr>
            </w:pPr>
          </w:p>
        </w:tc>
        <w:tc>
          <w:tcPr>
            <w:tcW w:w="5200" w:type="dxa"/>
            <w:vAlign w:val="bottom"/>
          </w:tcPr>
          <w:p w:rsidR="003E1A61" w:rsidRDefault="003E1A61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Align w:val="bottom"/>
          </w:tcPr>
          <w:p w:rsidR="003E1A61" w:rsidRDefault="003E1A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A61" w:rsidRDefault="003E1A61">
            <w:pPr>
              <w:rPr>
                <w:sz w:val="1"/>
                <w:szCs w:val="1"/>
              </w:rPr>
            </w:pPr>
          </w:p>
        </w:tc>
      </w:tr>
    </w:tbl>
    <w:p w:rsidR="003E1A61" w:rsidRDefault="003E1A61">
      <w:pPr>
        <w:spacing w:line="31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60"/>
        <w:gridCol w:w="1580"/>
        <w:gridCol w:w="1200"/>
        <w:gridCol w:w="4860"/>
        <w:gridCol w:w="1660"/>
        <w:gridCol w:w="100"/>
        <w:gridCol w:w="60"/>
        <w:gridCol w:w="20"/>
      </w:tblGrid>
      <w:tr w:rsidR="003E1A61">
        <w:trPr>
          <w:trHeight w:val="255"/>
        </w:trPr>
        <w:tc>
          <w:tcPr>
            <w:tcW w:w="20" w:type="dxa"/>
            <w:vAlign w:val="bottom"/>
          </w:tcPr>
          <w:p w:rsidR="003E1A61" w:rsidRDefault="003E1A61"/>
        </w:tc>
        <w:tc>
          <w:tcPr>
            <w:tcW w:w="7800" w:type="dxa"/>
            <w:gridSpan w:val="4"/>
            <w:shd w:val="clear" w:color="auto" w:fill="C0C0C0"/>
            <w:vAlign w:val="bottom"/>
          </w:tcPr>
          <w:p w:rsidR="003E1A61" w:rsidRDefault="00884FB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PROFESSIONAL WORK EXPERIENCE – 7 Years</w:t>
            </w:r>
          </w:p>
        </w:tc>
        <w:tc>
          <w:tcPr>
            <w:tcW w:w="1820" w:type="dxa"/>
            <w:gridSpan w:val="3"/>
            <w:shd w:val="clear" w:color="auto" w:fill="C0C0C0"/>
            <w:vAlign w:val="bottom"/>
          </w:tcPr>
          <w:p w:rsidR="003E1A61" w:rsidRDefault="00884FB6">
            <w:pPr>
              <w:ind w:left="1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BFBFBF"/>
                <w:w w:val="71"/>
              </w:rPr>
              <w:t>.</w:t>
            </w:r>
          </w:p>
        </w:tc>
        <w:tc>
          <w:tcPr>
            <w:tcW w:w="0" w:type="dxa"/>
            <w:vAlign w:val="bottom"/>
          </w:tcPr>
          <w:p w:rsidR="003E1A61" w:rsidRDefault="003E1A61">
            <w:pPr>
              <w:rPr>
                <w:sz w:val="1"/>
                <w:szCs w:val="1"/>
              </w:rPr>
            </w:pPr>
          </w:p>
        </w:tc>
      </w:tr>
      <w:tr w:rsidR="003E1A61">
        <w:trPr>
          <w:trHeight w:val="447"/>
        </w:trPr>
        <w:tc>
          <w:tcPr>
            <w:tcW w:w="20" w:type="dxa"/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Align w:val="bottom"/>
          </w:tcPr>
          <w:p w:rsidR="003E1A61" w:rsidRDefault="00884FB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Designation</w:t>
            </w:r>
          </w:p>
        </w:tc>
        <w:tc>
          <w:tcPr>
            <w:tcW w:w="4860" w:type="dxa"/>
            <w:vAlign w:val="bottom"/>
          </w:tcPr>
          <w:p w:rsidR="003E1A61" w:rsidRDefault="00884FB6">
            <w:pPr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Organization</w:t>
            </w:r>
          </w:p>
        </w:tc>
        <w:tc>
          <w:tcPr>
            <w:tcW w:w="1820" w:type="dxa"/>
            <w:gridSpan w:val="3"/>
            <w:vAlign w:val="bottom"/>
          </w:tcPr>
          <w:p w:rsidR="003E1A61" w:rsidRDefault="00884FB6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Duration</w:t>
            </w:r>
          </w:p>
        </w:tc>
        <w:tc>
          <w:tcPr>
            <w:tcW w:w="0" w:type="dxa"/>
            <w:vAlign w:val="bottom"/>
          </w:tcPr>
          <w:p w:rsidR="003E1A61" w:rsidRDefault="003E1A61">
            <w:pPr>
              <w:rPr>
                <w:sz w:val="1"/>
                <w:szCs w:val="1"/>
              </w:rPr>
            </w:pPr>
          </w:p>
        </w:tc>
      </w:tr>
      <w:tr w:rsidR="003E1A61">
        <w:trPr>
          <w:trHeight w:val="64"/>
        </w:trPr>
        <w:tc>
          <w:tcPr>
            <w:tcW w:w="20" w:type="dxa"/>
            <w:vAlign w:val="bottom"/>
          </w:tcPr>
          <w:p w:rsidR="003E1A61" w:rsidRDefault="003E1A61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E1A61" w:rsidRDefault="003E1A61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E1A61" w:rsidRDefault="003E1A61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E1A61" w:rsidRDefault="003E1A61">
            <w:pPr>
              <w:rPr>
                <w:sz w:val="5"/>
                <w:szCs w:val="5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3E1A61" w:rsidRDefault="003E1A61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E1A61" w:rsidRDefault="003E1A61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E1A61" w:rsidRDefault="003E1A61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E1A61" w:rsidRDefault="003E1A6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1A61" w:rsidRDefault="003E1A61">
            <w:pPr>
              <w:rPr>
                <w:sz w:val="1"/>
                <w:szCs w:val="1"/>
              </w:rPr>
            </w:pPr>
          </w:p>
        </w:tc>
      </w:tr>
      <w:tr w:rsidR="003E1A61">
        <w:trPr>
          <w:trHeight w:val="295"/>
        </w:trPr>
        <w:tc>
          <w:tcPr>
            <w:tcW w:w="20" w:type="dxa"/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Merge w:val="restart"/>
            <w:vAlign w:val="bottom"/>
          </w:tcPr>
          <w:p w:rsidR="003E1A61" w:rsidRDefault="00884FB6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780" w:type="dxa"/>
            <w:gridSpan w:val="2"/>
            <w:vMerge w:val="restart"/>
            <w:vAlign w:val="bottom"/>
          </w:tcPr>
          <w:p w:rsidR="003E1A61" w:rsidRDefault="0088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Senior Auditor</w:t>
            </w:r>
          </w:p>
        </w:tc>
        <w:tc>
          <w:tcPr>
            <w:tcW w:w="4860" w:type="dxa"/>
            <w:vAlign w:val="bottom"/>
          </w:tcPr>
          <w:p w:rsidR="003E1A61" w:rsidRDefault="00884FB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PKF Ibrahim Al Bassam &amp; Al Nemer, Khobar,</w:t>
            </w:r>
          </w:p>
        </w:tc>
        <w:tc>
          <w:tcPr>
            <w:tcW w:w="1820" w:type="dxa"/>
            <w:gridSpan w:val="3"/>
            <w:vAlign w:val="bottom"/>
          </w:tcPr>
          <w:p w:rsidR="003E1A61" w:rsidRDefault="00884FB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Dec 15 - </w:t>
            </w:r>
            <w:r>
              <w:rPr>
                <w:rFonts w:eastAsia="Times New Roman"/>
              </w:rPr>
              <w:t>present</w:t>
            </w:r>
          </w:p>
        </w:tc>
        <w:tc>
          <w:tcPr>
            <w:tcW w:w="0" w:type="dxa"/>
            <w:vAlign w:val="bottom"/>
          </w:tcPr>
          <w:p w:rsidR="003E1A61" w:rsidRDefault="003E1A61">
            <w:pPr>
              <w:rPr>
                <w:sz w:val="1"/>
                <w:szCs w:val="1"/>
              </w:rPr>
            </w:pPr>
          </w:p>
        </w:tc>
      </w:tr>
      <w:tr w:rsidR="003E1A61">
        <w:trPr>
          <w:trHeight w:val="134"/>
        </w:trPr>
        <w:tc>
          <w:tcPr>
            <w:tcW w:w="20" w:type="dxa"/>
            <w:vAlign w:val="bottom"/>
          </w:tcPr>
          <w:p w:rsidR="003E1A61" w:rsidRDefault="003E1A61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Merge/>
            <w:vAlign w:val="bottom"/>
          </w:tcPr>
          <w:p w:rsidR="003E1A61" w:rsidRDefault="003E1A61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2"/>
            <w:vMerge/>
            <w:vAlign w:val="bottom"/>
          </w:tcPr>
          <w:p w:rsidR="003E1A61" w:rsidRDefault="003E1A61">
            <w:pPr>
              <w:rPr>
                <w:sz w:val="11"/>
                <w:szCs w:val="11"/>
              </w:rPr>
            </w:pPr>
          </w:p>
        </w:tc>
        <w:tc>
          <w:tcPr>
            <w:tcW w:w="4860" w:type="dxa"/>
            <w:vMerge w:val="restart"/>
            <w:vAlign w:val="bottom"/>
          </w:tcPr>
          <w:p w:rsidR="003E1A61" w:rsidRDefault="00884FB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Saudi Arabia</w:t>
            </w:r>
          </w:p>
        </w:tc>
        <w:tc>
          <w:tcPr>
            <w:tcW w:w="1660" w:type="dxa"/>
            <w:vAlign w:val="bottom"/>
          </w:tcPr>
          <w:p w:rsidR="003E1A61" w:rsidRDefault="003E1A6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3E1A61" w:rsidRDefault="003E1A61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3E1A61" w:rsidRDefault="003E1A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1A61" w:rsidRDefault="003E1A61">
            <w:pPr>
              <w:rPr>
                <w:sz w:val="1"/>
                <w:szCs w:val="1"/>
              </w:rPr>
            </w:pPr>
          </w:p>
        </w:tc>
      </w:tr>
      <w:tr w:rsidR="003E1A61">
        <w:trPr>
          <w:trHeight w:val="118"/>
        </w:trPr>
        <w:tc>
          <w:tcPr>
            <w:tcW w:w="20" w:type="dxa"/>
            <w:vAlign w:val="bottom"/>
          </w:tcPr>
          <w:p w:rsidR="003E1A61" w:rsidRDefault="003E1A61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3E1A61" w:rsidRDefault="003E1A61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Align w:val="bottom"/>
          </w:tcPr>
          <w:p w:rsidR="003E1A61" w:rsidRDefault="003E1A6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Align w:val="bottom"/>
          </w:tcPr>
          <w:p w:rsidR="003E1A61" w:rsidRDefault="003E1A61">
            <w:pPr>
              <w:rPr>
                <w:sz w:val="10"/>
                <w:szCs w:val="10"/>
              </w:rPr>
            </w:pPr>
          </w:p>
        </w:tc>
        <w:tc>
          <w:tcPr>
            <w:tcW w:w="4860" w:type="dxa"/>
            <w:vMerge/>
            <w:vAlign w:val="bottom"/>
          </w:tcPr>
          <w:p w:rsidR="003E1A61" w:rsidRDefault="003E1A61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Align w:val="bottom"/>
          </w:tcPr>
          <w:p w:rsidR="003E1A61" w:rsidRDefault="003E1A6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3E1A61" w:rsidRDefault="003E1A61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3E1A61" w:rsidRDefault="003E1A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1A61" w:rsidRDefault="003E1A61">
            <w:pPr>
              <w:rPr>
                <w:sz w:val="1"/>
                <w:szCs w:val="1"/>
              </w:rPr>
            </w:pPr>
          </w:p>
        </w:tc>
      </w:tr>
      <w:tr w:rsidR="003E1A61">
        <w:trPr>
          <w:trHeight w:val="385"/>
        </w:trPr>
        <w:tc>
          <w:tcPr>
            <w:tcW w:w="20" w:type="dxa"/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E1A61" w:rsidRDefault="00884FB6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780" w:type="dxa"/>
            <w:gridSpan w:val="2"/>
            <w:vAlign w:val="bottom"/>
          </w:tcPr>
          <w:p w:rsidR="003E1A61" w:rsidRDefault="0088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Assistant Manager Internal</w:t>
            </w:r>
          </w:p>
        </w:tc>
        <w:tc>
          <w:tcPr>
            <w:tcW w:w="4860" w:type="dxa"/>
            <w:vAlign w:val="bottom"/>
          </w:tcPr>
          <w:p w:rsidR="003E1A61" w:rsidRDefault="00884FB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National University of Sciences and Technology,</w:t>
            </w:r>
          </w:p>
        </w:tc>
        <w:tc>
          <w:tcPr>
            <w:tcW w:w="1820" w:type="dxa"/>
            <w:gridSpan w:val="3"/>
            <w:vAlign w:val="bottom"/>
          </w:tcPr>
          <w:p w:rsidR="003E1A61" w:rsidRDefault="00884FB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Oct 13 – Dec 15</w:t>
            </w:r>
          </w:p>
        </w:tc>
        <w:tc>
          <w:tcPr>
            <w:tcW w:w="0" w:type="dxa"/>
            <w:vAlign w:val="bottom"/>
          </w:tcPr>
          <w:p w:rsidR="003E1A61" w:rsidRDefault="003E1A61">
            <w:pPr>
              <w:rPr>
                <w:sz w:val="1"/>
                <w:szCs w:val="1"/>
              </w:rPr>
            </w:pPr>
          </w:p>
        </w:tc>
      </w:tr>
      <w:tr w:rsidR="003E1A61">
        <w:trPr>
          <w:trHeight w:val="258"/>
        </w:trPr>
        <w:tc>
          <w:tcPr>
            <w:tcW w:w="20" w:type="dxa"/>
            <w:vAlign w:val="bottom"/>
          </w:tcPr>
          <w:p w:rsidR="003E1A61" w:rsidRDefault="003E1A61"/>
        </w:tc>
        <w:tc>
          <w:tcPr>
            <w:tcW w:w="160" w:type="dxa"/>
            <w:vAlign w:val="bottom"/>
          </w:tcPr>
          <w:p w:rsidR="003E1A61" w:rsidRDefault="003E1A61"/>
        </w:tc>
        <w:tc>
          <w:tcPr>
            <w:tcW w:w="2780" w:type="dxa"/>
            <w:gridSpan w:val="2"/>
            <w:vAlign w:val="bottom"/>
          </w:tcPr>
          <w:p w:rsidR="003E1A61" w:rsidRDefault="0088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Audit</w:t>
            </w:r>
          </w:p>
        </w:tc>
        <w:tc>
          <w:tcPr>
            <w:tcW w:w="4860" w:type="dxa"/>
            <w:vAlign w:val="bottom"/>
          </w:tcPr>
          <w:p w:rsidR="003E1A61" w:rsidRDefault="00884FB6">
            <w:pPr>
              <w:spacing w:line="24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Islamabad, Pakistan</w:t>
            </w:r>
          </w:p>
        </w:tc>
        <w:tc>
          <w:tcPr>
            <w:tcW w:w="1660" w:type="dxa"/>
            <w:vAlign w:val="bottom"/>
          </w:tcPr>
          <w:p w:rsidR="003E1A61" w:rsidRDefault="003E1A61"/>
        </w:tc>
        <w:tc>
          <w:tcPr>
            <w:tcW w:w="100" w:type="dxa"/>
            <w:vAlign w:val="bottom"/>
          </w:tcPr>
          <w:p w:rsidR="003E1A61" w:rsidRDefault="003E1A61"/>
        </w:tc>
        <w:tc>
          <w:tcPr>
            <w:tcW w:w="60" w:type="dxa"/>
            <w:vAlign w:val="bottom"/>
          </w:tcPr>
          <w:p w:rsidR="003E1A61" w:rsidRDefault="003E1A61"/>
        </w:tc>
        <w:tc>
          <w:tcPr>
            <w:tcW w:w="0" w:type="dxa"/>
            <w:vAlign w:val="bottom"/>
          </w:tcPr>
          <w:p w:rsidR="003E1A61" w:rsidRDefault="003E1A61">
            <w:pPr>
              <w:rPr>
                <w:sz w:val="1"/>
                <w:szCs w:val="1"/>
              </w:rPr>
            </w:pPr>
          </w:p>
        </w:tc>
      </w:tr>
      <w:tr w:rsidR="003E1A61">
        <w:trPr>
          <w:trHeight w:val="389"/>
        </w:trPr>
        <w:tc>
          <w:tcPr>
            <w:tcW w:w="20" w:type="dxa"/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E1A61" w:rsidRDefault="00884FB6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780" w:type="dxa"/>
            <w:gridSpan w:val="2"/>
            <w:vAlign w:val="bottom"/>
          </w:tcPr>
          <w:p w:rsidR="003E1A61" w:rsidRDefault="0088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Senior Audit Associate</w:t>
            </w:r>
          </w:p>
        </w:tc>
        <w:tc>
          <w:tcPr>
            <w:tcW w:w="4860" w:type="dxa"/>
            <w:vAlign w:val="bottom"/>
          </w:tcPr>
          <w:p w:rsidR="003E1A61" w:rsidRDefault="00884FB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KPMG (Dubai, UAE)</w:t>
            </w:r>
          </w:p>
        </w:tc>
        <w:tc>
          <w:tcPr>
            <w:tcW w:w="1820" w:type="dxa"/>
            <w:gridSpan w:val="3"/>
            <w:vAlign w:val="bottom"/>
          </w:tcPr>
          <w:p w:rsidR="003E1A61" w:rsidRDefault="00884FB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Dec 12 - Apr 13</w:t>
            </w:r>
          </w:p>
        </w:tc>
        <w:tc>
          <w:tcPr>
            <w:tcW w:w="0" w:type="dxa"/>
            <w:vAlign w:val="bottom"/>
          </w:tcPr>
          <w:p w:rsidR="003E1A61" w:rsidRDefault="003E1A61">
            <w:pPr>
              <w:rPr>
                <w:sz w:val="1"/>
                <w:szCs w:val="1"/>
              </w:rPr>
            </w:pPr>
          </w:p>
        </w:tc>
      </w:tr>
      <w:tr w:rsidR="003E1A61">
        <w:trPr>
          <w:trHeight w:val="389"/>
        </w:trPr>
        <w:tc>
          <w:tcPr>
            <w:tcW w:w="20" w:type="dxa"/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E1A61" w:rsidRDefault="00884FB6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780" w:type="dxa"/>
            <w:gridSpan w:val="2"/>
            <w:vAlign w:val="bottom"/>
          </w:tcPr>
          <w:p w:rsidR="003E1A61" w:rsidRDefault="0088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Senior Audit </w:t>
            </w:r>
            <w:r>
              <w:rPr>
                <w:rFonts w:eastAsia="Times New Roman"/>
              </w:rPr>
              <w:t>Associate</w:t>
            </w:r>
          </w:p>
        </w:tc>
        <w:tc>
          <w:tcPr>
            <w:tcW w:w="4860" w:type="dxa"/>
            <w:vAlign w:val="bottom"/>
          </w:tcPr>
          <w:p w:rsidR="003E1A61" w:rsidRDefault="00884FB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KPMG Taseer Hadi &amp; Co (Islamabad)</w:t>
            </w:r>
          </w:p>
        </w:tc>
        <w:tc>
          <w:tcPr>
            <w:tcW w:w="1820" w:type="dxa"/>
            <w:gridSpan w:val="3"/>
            <w:vAlign w:val="bottom"/>
          </w:tcPr>
          <w:p w:rsidR="003E1A61" w:rsidRDefault="00884FB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Nov 09 - May 13</w:t>
            </w:r>
          </w:p>
        </w:tc>
        <w:tc>
          <w:tcPr>
            <w:tcW w:w="0" w:type="dxa"/>
            <w:vAlign w:val="bottom"/>
          </w:tcPr>
          <w:p w:rsidR="003E1A61" w:rsidRDefault="003E1A61">
            <w:pPr>
              <w:rPr>
                <w:sz w:val="1"/>
                <w:szCs w:val="1"/>
              </w:rPr>
            </w:pPr>
          </w:p>
        </w:tc>
      </w:tr>
      <w:tr w:rsidR="003E1A61">
        <w:trPr>
          <w:trHeight w:val="408"/>
        </w:trPr>
        <w:tc>
          <w:tcPr>
            <w:tcW w:w="20" w:type="dxa"/>
            <w:vMerge w:val="restart"/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2"/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Merge w:val="restart"/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A61" w:rsidRDefault="003E1A61">
            <w:pPr>
              <w:rPr>
                <w:sz w:val="1"/>
                <w:szCs w:val="1"/>
              </w:rPr>
            </w:pPr>
          </w:p>
        </w:tc>
      </w:tr>
      <w:tr w:rsidR="003E1A61">
        <w:trPr>
          <w:trHeight w:val="211"/>
        </w:trPr>
        <w:tc>
          <w:tcPr>
            <w:tcW w:w="20" w:type="dxa"/>
            <w:vMerge/>
            <w:vAlign w:val="bottom"/>
          </w:tcPr>
          <w:p w:rsidR="003E1A61" w:rsidRDefault="003E1A61">
            <w:pPr>
              <w:rPr>
                <w:sz w:val="18"/>
                <w:szCs w:val="18"/>
              </w:rPr>
            </w:pPr>
          </w:p>
        </w:tc>
        <w:tc>
          <w:tcPr>
            <w:tcW w:w="7800" w:type="dxa"/>
            <w:gridSpan w:val="4"/>
            <w:shd w:val="clear" w:color="auto" w:fill="C0C0C0"/>
            <w:vAlign w:val="bottom"/>
          </w:tcPr>
          <w:p w:rsidR="003E1A61" w:rsidRDefault="00884FB6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PROFESSIONAL EXPERTISE / SKILLS</w:t>
            </w:r>
          </w:p>
        </w:tc>
        <w:tc>
          <w:tcPr>
            <w:tcW w:w="1760" w:type="dxa"/>
            <w:gridSpan w:val="2"/>
            <w:shd w:val="clear" w:color="auto" w:fill="C0C0C0"/>
            <w:vAlign w:val="bottom"/>
          </w:tcPr>
          <w:p w:rsidR="003E1A61" w:rsidRDefault="00884FB6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BFBFBF"/>
                <w:w w:val="70"/>
                <w:sz w:val="11"/>
                <w:szCs w:val="11"/>
              </w:rPr>
              <w:t>.</w:t>
            </w:r>
          </w:p>
        </w:tc>
        <w:tc>
          <w:tcPr>
            <w:tcW w:w="60" w:type="dxa"/>
            <w:vMerge/>
            <w:vAlign w:val="bottom"/>
          </w:tcPr>
          <w:p w:rsidR="003E1A61" w:rsidRDefault="003E1A6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1A61" w:rsidRDefault="003E1A61">
            <w:pPr>
              <w:rPr>
                <w:sz w:val="1"/>
                <w:szCs w:val="1"/>
              </w:rPr>
            </w:pPr>
          </w:p>
        </w:tc>
      </w:tr>
      <w:tr w:rsidR="003E1A61">
        <w:trPr>
          <w:trHeight w:val="22"/>
        </w:trPr>
        <w:tc>
          <w:tcPr>
            <w:tcW w:w="20" w:type="dxa"/>
            <w:vAlign w:val="bottom"/>
          </w:tcPr>
          <w:p w:rsidR="003E1A61" w:rsidRDefault="003E1A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3E1A61" w:rsidRDefault="003E1A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right w:val="single" w:sz="8" w:space="0" w:color="C0C0C0"/>
            </w:tcBorders>
            <w:shd w:val="clear" w:color="auto" w:fill="000000"/>
            <w:vAlign w:val="bottom"/>
          </w:tcPr>
          <w:p w:rsidR="003E1A61" w:rsidRDefault="003E1A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shd w:val="clear" w:color="auto" w:fill="000000"/>
            <w:vAlign w:val="bottom"/>
          </w:tcPr>
          <w:p w:rsidR="003E1A61" w:rsidRDefault="003E1A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60" w:type="dxa"/>
            <w:shd w:val="clear" w:color="auto" w:fill="000000"/>
            <w:vAlign w:val="bottom"/>
          </w:tcPr>
          <w:p w:rsidR="003E1A61" w:rsidRDefault="003E1A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shd w:val="clear" w:color="auto" w:fill="000000"/>
            <w:vAlign w:val="bottom"/>
          </w:tcPr>
          <w:p w:rsidR="003E1A61" w:rsidRDefault="003E1A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3E1A61" w:rsidRDefault="003E1A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BFBFBF"/>
            </w:tcBorders>
            <w:vAlign w:val="bottom"/>
          </w:tcPr>
          <w:p w:rsidR="003E1A61" w:rsidRDefault="003E1A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E1A61" w:rsidRDefault="003E1A6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E1A61" w:rsidRDefault="003E1A6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85.65pt;margin-top:-1.05pt;width:2pt;height:1.05pt;z-index:-251655168;visibility:visible;mso-wrap-distance-left:0;mso-wrap-distance-right:0;mso-position-horizontal-relative:text;mso-position-vertical-relative:text" o:allowincell="f" fillcolor="#339" stroked="f"/>
        </w:pict>
      </w:r>
    </w:p>
    <w:p w:rsidR="003E1A61" w:rsidRDefault="003E1A61">
      <w:pPr>
        <w:spacing w:line="40" w:lineRule="exact"/>
        <w:rPr>
          <w:sz w:val="24"/>
          <w:szCs w:val="24"/>
        </w:rPr>
      </w:pPr>
    </w:p>
    <w:p w:rsidR="003E1A61" w:rsidRDefault="00884FB6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IFRS implementation assignments in the Kingdom of Saudi Arabia.</w:t>
      </w:r>
    </w:p>
    <w:p w:rsidR="003E1A61" w:rsidRDefault="00884FB6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Internal Auditing / External Auditing and International Standards on </w:t>
      </w:r>
      <w:r>
        <w:rPr>
          <w:rFonts w:eastAsia="Times New Roman"/>
        </w:rPr>
        <w:t>Auditing (ISAs).</w:t>
      </w:r>
    </w:p>
    <w:p w:rsidR="003E1A61" w:rsidRDefault="003E1A61">
      <w:pPr>
        <w:spacing w:line="8" w:lineRule="exact"/>
        <w:rPr>
          <w:rFonts w:ascii="Symbol" w:eastAsia="Symbol" w:hAnsi="Symbol" w:cs="Symbol"/>
        </w:rPr>
      </w:pPr>
    </w:p>
    <w:p w:rsidR="003E1A61" w:rsidRDefault="00884FB6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Taxation and Corporate laws as applicable in Pakistan.</w:t>
      </w:r>
    </w:p>
    <w:p w:rsidR="003E1A61" w:rsidRDefault="003E1A61">
      <w:pPr>
        <w:spacing w:line="8" w:lineRule="exact"/>
        <w:rPr>
          <w:rFonts w:ascii="Symbol" w:eastAsia="Symbol" w:hAnsi="Symbol" w:cs="Symbol"/>
        </w:rPr>
      </w:pPr>
    </w:p>
    <w:p w:rsidR="003E1A61" w:rsidRDefault="00884FB6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Ratio analysis, horizontal and vertical analysis of financial statements, business and share valuations.</w:t>
      </w:r>
    </w:p>
    <w:p w:rsidR="003E1A61" w:rsidRDefault="003E1A61">
      <w:pPr>
        <w:spacing w:line="8" w:lineRule="exact"/>
        <w:rPr>
          <w:rFonts w:ascii="Symbol" w:eastAsia="Symbol" w:hAnsi="Symbol" w:cs="Symbol"/>
        </w:rPr>
      </w:pPr>
    </w:p>
    <w:p w:rsidR="003E1A61" w:rsidRDefault="00884FB6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Investment appraisal techniques, budgeting, financial management.</w:t>
      </w:r>
    </w:p>
    <w:p w:rsidR="003E1A61" w:rsidRDefault="003E1A61">
      <w:pPr>
        <w:spacing w:line="1" w:lineRule="exact"/>
        <w:rPr>
          <w:rFonts w:ascii="Symbol" w:eastAsia="Symbol" w:hAnsi="Symbol" w:cs="Symbol"/>
        </w:rPr>
      </w:pPr>
    </w:p>
    <w:p w:rsidR="003E1A61" w:rsidRDefault="00884FB6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Preparation of standalone and consolidated financial statements.</w:t>
      </w:r>
    </w:p>
    <w:p w:rsidR="003E1A61" w:rsidRDefault="003E1A61">
      <w:pPr>
        <w:spacing w:line="8" w:lineRule="exact"/>
        <w:rPr>
          <w:rFonts w:ascii="Symbol" w:eastAsia="Symbol" w:hAnsi="Symbol" w:cs="Symbol"/>
        </w:rPr>
      </w:pPr>
    </w:p>
    <w:p w:rsidR="003E1A61" w:rsidRDefault="00884FB6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Statutory Audits, Agreed-Upon Procedures Assignments, and Internal Controls Evaluations.</w:t>
      </w:r>
    </w:p>
    <w:p w:rsidR="003E1A61" w:rsidRDefault="00884FB6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Review and evaluation of internal control system and recommendations for improvements therein.</w:t>
      </w:r>
    </w:p>
    <w:p w:rsidR="003E1A61" w:rsidRDefault="003E1A61">
      <w:pPr>
        <w:spacing w:line="8" w:lineRule="exact"/>
        <w:rPr>
          <w:rFonts w:ascii="Symbol" w:eastAsia="Symbol" w:hAnsi="Symbol" w:cs="Symbol"/>
        </w:rPr>
      </w:pPr>
    </w:p>
    <w:p w:rsidR="003E1A61" w:rsidRDefault="00884FB6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Team </w:t>
      </w:r>
      <w:r>
        <w:rPr>
          <w:rFonts w:eastAsia="Times New Roman"/>
        </w:rPr>
        <w:t>leader having exposure of audit managerial role.</w:t>
      </w:r>
    </w:p>
    <w:p w:rsidR="003E1A61" w:rsidRDefault="003E1A61">
      <w:pPr>
        <w:spacing w:line="68" w:lineRule="exact"/>
        <w:rPr>
          <w:rFonts w:ascii="Symbol" w:eastAsia="Symbol" w:hAnsi="Symbol" w:cs="Symbol"/>
        </w:rPr>
      </w:pPr>
    </w:p>
    <w:p w:rsidR="003E1A61" w:rsidRDefault="00884FB6">
      <w:pPr>
        <w:numPr>
          <w:ilvl w:val="0"/>
          <w:numId w:val="1"/>
        </w:numPr>
        <w:tabs>
          <w:tab w:val="left" w:pos="720"/>
        </w:tabs>
        <w:spacing w:line="207" w:lineRule="auto"/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</w:rPr>
        <w:t>Computer Assisted Auditing Techniques (KPMG e-Audit software), user level knowledge of accounting systems (Oracle, QuickBooks, sage) and MS Office.</w:t>
      </w:r>
    </w:p>
    <w:p w:rsidR="003E1A61" w:rsidRDefault="003E1A61">
      <w:pPr>
        <w:sectPr w:rsidR="003E1A61">
          <w:pgSz w:w="12240" w:h="15840"/>
          <w:pgMar w:top="1152" w:right="1260" w:bottom="0" w:left="1340" w:header="0" w:footer="0" w:gutter="0"/>
          <w:cols w:space="720" w:equalWidth="0">
            <w:col w:w="9640"/>
          </w:cols>
        </w:sectPr>
      </w:pPr>
    </w:p>
    <w:p w:rsidR="003E1A61" w:rsidRDefault="003E1A61">
      <w:pPr>
        <w:spacing w:line="200" w:lineRule="exact"/>
        <w:rPr>
          <w:sz w:val="24"/>
          <w:szCs w:val="24"/>
        </w:rPr>
      </w:pPr>
    </w:p>
    <w:p w:rsidR="003E1A61" w:rsidRDefault="003E1A61">
      <w:pPr>
        <w:spacing w:line="279" w:lineRule="exact"/>
        <w:rPr>
          <w:sz w:val="24"/>
          <w:szCs w:val="24"/>
        </w:rPr>
      </w:pPr>
    </w:p>
    <w:p w:rsidR="003E1A61" w:rsidRDefault="00884FB6">
      <w:pPr>
        <w:tabs>
          <w:tab w:val="left" w:pos="8620"/>
        </w:tabs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Resume: Fahim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 xml:space="preserve">Page </w:t>
      </w:r>
      <w:r>
        <w:rPr>
          <w:rFonts w:eastAsia="Times New Roman"/>
          <w:b/>
          <w:bCs/>
          <w:sz w:val="18"/>
          <w:szCs w:val="18"/>
        </w:rPr>
        <w:t>1</w:t>
      </w:r>
      <w:r>
        <w:rPr>
          <w:rFonts w:eastAsia="Times New Roman"/>
          <w:sz w:val="18"/>
          <w:szCs w:val="18"/>
        </w:rPr>
        <w:t xml:space="preserve"> of </w:t>
      </w:r>
      <w:r>
        <w:rPr>
          <w:rFonts w:eastAsia="Times New Roman"/>
          <w:b/>
          <w:bCs/>
          <w:sz w:val="18"/>
          <w:szCs w:val="18"/>
        </w:rPr>
        <w:t>3</w:t>
      </w:r>
    </w:p>
    <w:p w:rsidR="003E1A61" w:rsidRDefault="003E1A61">
      <w:pPr>
        <w:sectPr w:rsidR="003E1A61">
          <w:type w:val="continuous"/>
          <w:pgSz w:w="12240" w:h="15840"/>
          <w:pgMar w:top="1152" w:right="1260" w:bottom="0" w:left="1340" w:header="0" w:footer="0" w:gutter="0"/>
          <w:cols w:space="720" w:equalWidth="0">
            <w:col w:w="9640"/>
          </w:cols>
        </w:sectPr>
      </w:pPr>
    </w:p>
    <w:p w:rsidR="003E1A61" w:rsidRDefault="00884FB6">
      <w:pPr>
        <w:ind w:left="130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lastRenderedPageBreak/>
        <w:t>Senior Auditor</w:t>
      </w:r>
    </w:p>
    <w:p w:rsidR="003E1A61" w:rsidRDefault="00884FB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165100</wp:posOffset>
            </wp:positionH>
            <wp:positionV relativeFrom="paragraph">
              <wp:posOffset>-141605</wp:posOffset>
            </wp:positionV>
            <wp:extent cx="544195" cy="2997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1A61" w:rsidRDefault="00884FB6">
      <w:pPr>
        <w:tabs>
          <w:tab w:val="left" w:pos="8040"/>
        </w:tabs>
        <w:ind w:left="1300"/>
        <w:rPr>
          <w:sz w:val="20"/>
          <w:szCs w:val="20"/>
        </w:rPr>
      </w:pPr>
      <w:r>
        <w:rPr>
          <w:rFonts w:eastAsia="Times New Roman"/>
          <w:i/>
          <w:iCs/>
        </w:rPr>
        <w:t>PKF Ibrahim Al Bassam &amp; Al Nemer, Khobar, Saudi Arabia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1"/>
          <w:szCs w:val="21"/>
        </w:rPr>
        <w:t>Dec 15 - present</w:t>
      </w:r>
    </w:p>
    <w:p w:rsidR="003E1A61" w:rsidRDefault="003E1A6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7216;visibility:visible;mso-wrap-distance-left:0;mso-wrap-distance-right:0" from="64.8pt,-.75pt" to="476.1pt,-.75pt" o:allowincell="f" strokeweight=".6pt"/>
        </w:pict>
      </w:r>
    </w:p>
    <w:p w:rsidR="003E1A61" w:rsidRDefault="003E1A61">
      <w:pPr>
        <w:spacing w:line="48" w:lineRule="exact"/>
        <w:rPr>
          <w:sz w:val="20"/>
          <w:szCs w:val="20"/>
        </w:rPr>
      </w:pPr>
    </w:p>
    <w:p w:rsidR="003E1A61" w:rsidRDefault="00884FB6">
      <w:pPr>
        <w:spacing w:line="234" w:lineRule="auto"/>
        <w:ind w:left="180"/>
        <w:rPr>
          <w:sz w:val="20"/>
          <w:szCs w:val="20"/>
        </w:rPr>
      </w:pPr>
      <w:r>
        <w:rPr>
          <w:rFonts w:eastAsia="Times New Roman"/>
        </w:rPr>
        <w:t>Currently working as, a Senior Auditor in one of the Leading audit firm in Saudi Arabia. The job description includes the following tasks:</w:t>
      </w:r>
    </w:p>
    <w:p w:rsidR="003E1A61" w:rsidRDefault="003E1A61">
      <w:pPr>
        <w:spacing w:line="57" w:lineRule="exact"/>
        <w:rPr>
          <w:sz w:val="20"/>
          <w:szCs w:val="20"/>
        </w:rPr>
      </w:pPr>
    </w:p>
    <w:p w:rsidR="003E1A61" w:rsidRDefault="00884FB6">
      <w:pPr>
        <w:numPr>
          <w:ilvl w:val="0"/>
          <w:numId w:val="2"/>
        </w:numPr>
        <w:tabs>
          <w:tab w:val="left" w:pos="620"/>
        </w:tabs>
        <w:ind w:left="620" w:hanging="360"/>
        <w:rPr>
          <w:rFonts w:ascii="Symbol" w:eastAsia="Symbol" w:hAnsi="Symbol" w:cs="Symbol"/>
        </w:rPr>
      </w:pPr>
      <w:r>
        <w:rPr>
          <w:rFonts w:eastAsia="Times New Roman"/>
        </w:rPr>
        <w:t>IFRS implementation assignments on various group of companies in Saudi Arabia.</w:t>
      </w:r>
    </w:p>
    <w:p w:rsidR="003E1A61" w:rsidRDefault="003E1A61">
      <w:pPr>
        <w:spacing w:line="27" w:lineRule="exact"/>
        <w:rPr>
          <w:rFonts w:ascii="Symbol" w:eastAsia="Symbol" w:hAnsi="Symbol" w:cs="Symbol"/>
        </w:rPr>
      </w:pPr>
    </w:p>
    <w:p w:rsidR="003E1A61" w:rsidRDefault="00884FB6">
      <w:pPr>
        <w:numPr>
          <w:ilvl w:val="0"/>
          <w:numId w:val="2"/>
        </w:numPr>
        <w:tabs>
          <w:tab w:val="left" w:pos="620"/>
        </w:tabs>
        <w:spacing w:line="231" w:lineRule="auto"/>
        <w:ind w:left="62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Planning, execution and completion of external audits from of organizations from various industries, including, but not limited to, manufacturing, services, hospitality and oth</w:t>
      </w:r>
      <w:r>
        <w:rPr>
          <w:rFonts w:eastAsia="Times New Roman"/>
        </w:rPr>
        <w:t>er sectors. Understanding the entity and its environment and documenting the business cycles.</w:t>
      </w:r>
    </w:p>
    <w:p w:rsidR="003E1A61" w:rsidRDefault="003E1A61">
      <w:pPr>
        <w:spacing w:line="28" w:lineRule="exact"/>
        <w:rPr>
          <w:rFonts w:ascii="Symbol" w:eastAsia="Symbol" w:hAnsi="Symbol" w:cs="Symbol"/>
        </w:rPr>
      </w:pPr>
    </w:p>
    <w:p w:rsidR="003E1A61" w:rsidRDefault="00884FB6">
      <w:pPr>
        <w:numPr>
          <w:ilvl w:val="0"/>
          <w:numId w:val="2"/>
        </w:numPr>
        <w:tabs>
          <w:tab w:val="left" w:pos="620"/>
        </w:tabs>
        <w:spacing w:line="230" w:lineRule="auto"/>
        <w:ind w:left="62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Ensuring timely completion of field work, managing project timelines, timely escalation and resolution of significant matters, regular monitoring of budget varia</w:t>
      </w:r>
      <w:r>
        <w:rPr>
          <w:rFonts w:eastAsia="Times New Roman"/>
        </w:rPr>
        <w:t>nces, changing the testing strategy in response to new risks identified.</w:t>
      </w:r>
    </w:p>
    <w:p w:rsidR="003E1A61" w:rsidRDefault="003E1A61">
      <w:pPr>
        <w:spacing w:line="32" w:lineRule="exact"/>
        <w:rPr>
          <w:rFonts w:ascii="Symbol" w:eastAsia="Symbol" w:hAnsi="Symbol" w:cs="Symbol"/>
        </w:rPr>
      </w:pPr>
    </w:p>
    <w:p w:rsidR="003E1A61" w:rsidRDefault="00884FB6">
      <w:pPr>
        <w:numPr>
          <w:ilvl w:val="0"/>
          <w:numId w:val="2"/>
        </w:numPr>
        <w:tabs>
          <w:tab w:val="left" w:pos="620"/>
        </w:tabs>
        <w:spacing w:line="230" w:lineRule="auto"/>
        <w:ind w:left="62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Ensuring compliance with the local regulatory requirements mainly including the Saudi Organization for Certified Public Accountants (SOCPA), Capital Markets Authority (CMA), Saudi Ar</w:t>
      </w:r>
      <w:r>
        <w:rPr>
          <w:rFonts w:eastAsia="Times New Roman"/>
        </w:rPr>
        <w:t>abian Monetary Agency (SAMA) and the General Authority of Zakat and Income Tax (GZIT).</w:t>
      </w:r>
    </w:p>
    <w:p w:rsidR="003E1A61" w:rsidRDefault="003E1A61">
      <w:pPr>
        <w:spacing w:line="4" w:lineRule="exact"/>
        <w:rPr>
          <w:rFonts w:ascii="Symbol" w:eastAsia="Symbol" w:hAnsi="Symbol" w:cs="Symbol"/>
        </w:rPr>
      </w:pPr>
    </w:p>
    <w:p w:rsidR="003E1A61" w:rsidRDefault="00884FB6">
      <w:pPr>
        <w:numPr>
          <w:ilvl w:val="0"/>
          <w:numId w:val="2"/>
        </w:numPr>
        <w:tabs>
          <w:tab w:val="left" w:pos="620"/>
        </w:tabs>
        <w:ind w:left="620" w:hanging="360"/>
        <w:rPr>
          <w:rFonts w:ascii="Symbol" w:eastAsia="Symbol" w:hAnsi="Symbol" w:cs="Symbol"/>
        </w:rPr>
      </w:pPr>
      <w:r>
        <w:rPr>
          <w:rFonts w:eastAsia="Times New Roman"/>
        </w:rPr>
        <w:t>Documentation of the work performed and compiling the audit file in the CAAT Software.</w:t>
      </w:r>
    </w:p>
    <w:p w:rsidR="003E1A61" w:rsidRDefault="00884FB6">
      <w:pPr>
        <w:numPr>
          <w:ilvl w:val="0"/>
          <w:numId w:val="2"/>
        </w:numPr>
        <w:tabs>
          <w:tab w:val="left" w:pos="620"/>
        </w:tabs>
        <w:ind w:left="620" w:hanging="360"/>
        <w:rPr>
          <w:rFonts w:ascii="Symbol" w:eastAsia="Symbol" w:hAnsi="Symbol" w:cs="Symbol"/>
        </w:rPr>
      </w:pPr>
      <w:r>
        <w:rPr>
          <w:rFonts w:eastAsia="Times New Roman"/>
        </w:rPr>
        <w:t>Compliance testing with the GAAPs and SOCPA regulations.</w:t>
      </w:r>
    </w:p>
    <w:p w:rsidR="003E1A61" w:rsidRDefault="00884FB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-84455</wp:posOffset>
            </wp:positionH>
            <wp:positionV relativeFrom="paragraph">
              <wp:posOffset>132715</wp:posOffset>
            </wp:positionV>
            <wp:extent cx="6141085" cy="6953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08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1A61" w:rsidRDefault="003E1A61">
      <w:pPr>
        <w:spacing w:line="363" w:lineRule="exact"/>
        <w:rPr>
          <w:sz w:val="20"/>
          <w:szCs w:val="20"/>
        </w:rPr>
      </w:pPr>
    </w:p>
    <w:p w:rsidR="003E1A61" w:rsidRDefault="00884FB6">
      <w:pPr>
        <w:ind w:left="120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 xml:space="preserve">Assistant Manager </w:t>
      </w:r>
      <w:r>
        <w:rPr>
          <w:rFonts w:eastAsia="Times New Roman"/>
          <w:b/>
          <w:bCs/>
          <w:sz w:val="26"/>
          <w:szCs w:val="26"/>
          <w:u w:val="single"/>
        </w:rPr>
        <w:t>Internal Audit</w:t>
      </w:r>
    </w:p>
    <w:p w:rsidR="003E1A61" w:rsidRDefault="003E1A61">
      <w:pPr>
        <w:spacing w:line="20" w:lineRule="exact"/>
        <w:rPr>
          <w:sz w:val="20"/>
          <w:szCs w:val="20"/>
        </w:rPr>
      </w:pPr>
    </w:p>
    <w:p w:rsidR="003E1A61" w:rsidRDefault="00884FB6">
      <w:pPr>
        <w:tabs>
          <w:tab w:val="left" w:pos="8080"/>
        </w:tabs>
        <w:ind w:left="1180"/>
        <w:rPr>
          <w:sz w:val="20"/>
          <w:szCs w:val="20"/>
        </w:rPr>
      </w:pPr>
      <w:r>
        <w:rPr>
          <w:rFonts w:eastAsia="Times New Roman"/>
          <w:i/>
          <w:iCs/>
        </w:rPr>
        <w:t>National University of Sciences and Technology (Public Sector)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1"/>
          <w:szCs w:val="21"/>
        </w:rPr>
        <w:t>Oct 13 – Dec 15</w:t>
      </w:r>
    </w:p>
    <w:p w:rsidR="003E1A61" w:rsidRDefault="003E1A61">
      <w:pPr>
        <w:spacing w:line="133" w:lineRule="exact"/>
        <w:rPr>
          <w:sz w:val="20"/>
          <w:szCs w:val="20"/>
        </w:rPr>
      </w:pPr>
    </w:p>
    <w:p w:rsidR="003E1A61" w:rsidRDefault="00884FB6">
      <w:pPr>
        <w:spacing w:line="234" w:lineRule="auto"/>
        <w:ind w:left="180"/>
        <w:rPr>
          <w:sz w:val="20"/>
          <w:szCs w:val="20"/>
        </w:rPr>
      </w:pPr>
      <w:r>
        <w:rPr>
          <w:rFonts w:eastAsia="Times New Roman"/>
          <w:highlight w:val="white"/>
        </w:rPr>
        <w:t xml:space="preserve">NUST is ranked as the </w:t>
      </w:r>
      <w:r>
        <w:rPr>
          <w:rFonts w:eastAsia="Times New Roman"/>
          <w:b/>
          <w:bCs/>
          <w:highlight w:val="white"/>
        </w:rPr>
        <w:t>TOP University</w:t>
      </w:r>
      <w:r>
        <w:rPr>
          <w:rFonts w:eastAsia="Times New Roman"/>
          <w:highlight w:val="white"/>
        </w:rPr>
        <w:t xml:space="preserve"> in the field of Sciences and technology in Pakistan. It is also ranked </w:t>
      </w:r>
      <w:r>
        <w:rPr>
          <w:rFonts w:eastAsia="Times New Roman"/>
          <w:b/>
          <w:bCs/>
          <w:highlight w:val="white"/>
        </w:rPr>
        <w:t>108th</w:t>
      </w:r>
      <w:r>
        <w:rPr>
          <w:rFonts w:eastAsia="Times New Roman"/>
          <w:highlight w:val="white"/>
        </w:rPr>
        <w:t xml:space="preserve"> in Asian universities rankings (QS Ranking, 2012).</w:t>
      </w:r>
    </w:p>
    <w:p w:rsidR="003E1A61" w:rsidRDefault="003E1A61">
      <w:pPr>
        <w:spacing w:line="209" w:lineRule="exact"/>
        <w:rPr>
          <w:sz w:val="20"/>
          <w:szCs w:val="20"/>
        </w:rPr>
      </w:pPr>
    </w:p>
    <w:p w:rsidR="003E1A61" w:rsidRDefault="00884FB6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Key Responsibilities:</w:t>
      </w:r>
    </w:p>
    <w:p w:rsidR="003E1A61" w:rsidRDefault="003E1A61">
      <w:pPr>
        <w:spacing w:line="26" w:lineRule="exact"/>
        <w:rPr>
          <w:sz w:val="20"/>
          <w:szCs w:val="20"/>
        </w:rPr>
      </w:pPr>
    </w:p>
    <w:p w:rsidR="003E1A61" w:rsidRDefault="00884FB6">
      <w:pPr>
        <w:numPr>
          <w:ilvl w:val="0"/>
          <w:numId w:val="3"/>
        </w:numPr>
        <w:tabs>
          <w:tab w:val="left" w:pos="540"/>
        </w:tabs>
        <w:spacing w:line="226" w:lineRule="auto"/>
        <w:ind w:left="540" w:hanging="367"/>
        <w:rPr>
          <w:rFonts w:ascii="Symbol" w:eastAsia="Symbol" w:hAnsi="Symbol" w:cs="Symbol"/>
        </w:rPr>
      </w:pPr>
      <w:r>
        <w:rPr>
          <w:rFonts w:eastAsia="Times New Roman"/>
        </w:rPr>
        <w:t>Preparing Annual Internal Audit Plans based on risk assessment including timelines and estimating resource needs for each task completion and reporting.</w:t>
      </w:r>
    </w:p>
    <w:p w:rsidR="003E1A61" w:rsidRDefault="003E1A61">
      <w:pPr>
        <w:spacing w:line="31" w:lineRule="exact"/>
        <w:rPr>
          <w:rFonts w:ascii="Symbol" w:eastAsia="Symbol" w:hAnsi="Symbol" w:cs="Symbol"/>
        </w:rPr>
      </w:pPr>
    </w:p>
    <w:p w:rsidR="003E1A61" w:rsidRDefault="00884FB6">
      <w:pPr>
        <w:numPr>
          <w:ilvl w:val="0"/>
          <w:numId w:val="3"/>
        </w:numPr>
        <w:tabs>
          <w:tab w:val="left" w:pos="540"/>
        </w:tabs>
        <w:spacing w:line="226" w:lineRule="auto"/>
        <w:ind w:left="540" w:hanging="367"/>
        <w:rPr>
          <w:rFonts w:ascii="Symbol" w:eastAsia="Symbol" w:hAnsi="Symbol" w:cs="Symbol"/>
        </w:rPr>
      </w:pPr>
      <w:r>
        <w:rPr>
          <w:rFonts w:eastAsia="Times New Roman"/>
        </w:rPr>
        <w:t>Report to Head of Internal</w:t>
      </w:r>
      <w:r>
        <w:rPr>
          <w:rFonts w:eastAsia="Times New Roman"/>
        </w:rPr>
        <w:t xml:space="preserve"> Audit about the progress and results of audit activities for review and approval.</w:t>
      </w:r>
    </w:p>
    <w:p w:rsidR="003E1A61" w:rsidRDefault="003E1A61">
      <w:pPr>
        <w:spacing w:line="47" w:lineRule="exact"/>
        <w:rPr>
          <w:rFonts w:ascii="Symbol" w:eastAsia="Symbol" w:hAnsi="Symbol" w:cs="Symbol"/>
        </w:rPr>
      </w:pPr>
    </w:p>
    <w:p w:rsidR="003E1A61" w:rsidRDefault="00884FB6">
      <w:pPr>
        <w:numPr>
          <w:ilvl w:val="0"/>
          <w:numId w:val="3"/>
        </w:numPr>
        <w:tabs>
          <w:tab w:val="left" w:pos="540"/>
        </w:tabs>
        <w:spacing w:line="216" w:lineRule="auto"/>
        <w:ind w:left="5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>Review of internal controls, monitor compliance with selected policies &amp; procedures and contractual obligations and making recommendations for improvements in processes.</w:t>
      </w:r>
    </w:p>
    <w:p w:rsidR="003E1A61" w:rsidRDefault="003E1A61">
      <w:pPr>
        <w:spacing w:line="50" w:lineRule="exact"/>
        <w:rPr>
          <w:rFonts w:ascii="Symbol" w:eastAsia="Symbol" w:hAnsi="Symbol" w:cs="Symbol"/>
          <w:sz w:val="24"/>
          <w:szCs w:val="24"/>
        </w:rPr>
      </w:pPr>
    </w:p>
    <w:p w:rsidR="003E1A61" w:rsidRDefault="00884FB6">
      <w:pPr>
        <w:numPr>
          <w:ilvl w:val="0"/>
          <w:numId w:val="3"/>
        </w:numPr>
        <w:tabs>
          <w:tab w:val="left" w:pos="540"/>
        </w:tabs>
        <w:spacing w:line="216" w:lineRule="auto"/>
        <w:ind w:left="5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>D</w:t>
      </w:r>
      <w:r>
        <w:rPr>
          <w:rFonts w:eastAsia="Times New Roman"/>
        </w:rPr>
        <w:t>evelop and discuss findings, recommendations and timelines for corrective action with responsible officer and monitor the implementation status of agreed recommendations.</w:t>
      </w:r>
    </w:p>
    <w:p w:rsidR="003E1A61" w:rsidRDefault="003E1A61">
      <w:pPr>
        <w:spacing w:line="50" w:lineRule="exact"/>
        <w:rPr>
          <w:rFonts w:ascii="Symbol" w:eastAsia="Symbol" w:hAnsi="Symbol" w:cs="Symbol"/>
          <w:sz w:val="24"/>
          <w:szCs w:val="24"/>
        </w:rPr>
      </w:pPr>
    </w:p>
    <w:p w:rsidR="003E1A61" w:rsidRDefault="00884FB6">
      <w:pPr>
        <w:numPr>
          <w:ilvl w:val="0"/>
          <w:numId w:val="3"/>
        </w:numPr>
        <w:tabs>
          <w:tab w:val="left" w:pos="540"/>
        </w:tabs>
        <w:spacing w:line="216" w:lineRule="auto"/>
        <w:ind w:left="5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 xml:space="preserve">Review and report on the accuracy, timeliness and relevance of the financial and </w:t>
      </w:r>
      <w:r>
        <w:rPr>
          <w:rFonts w:eastAsia="Times New Roman"/>
        </w:rPr>
        <w:t>other information provided to higher management.</w:t>
      </w:r>
    </w:p>
    <w:p w:rsidR="003E1A61" w:rsidRDefault="003E1A61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3E1A61" w:rsidRDefault="00884FB6">
      <w:pPr>
        <w:numPr>
          <w:ilvl w:val="0"/>
          <w:numId w:val="3"/>
        </w:numPr>
        <w:tabs>
          <w:tab w:val="left" w:pos="540"/>
        </w:tabs>
        <w:spacing w:line="217" w:lineRule="auto"/>
        <w:ind w:left="5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>Ensure quality control of the internal audit functions on an ongoing basis by reviewing and supervising work done by the staff and coordinate special team on special assignment.</w:t>
      </w:r>
    </w:p>
    <w:p w:rsidR="003E1A61" w:rsidRDefault="003E1A61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3E1A61" w:rsidRDefault="00884FB6">
      <w:pPr>
        <w:numPr>
          <w:ilvl w:val="0"/>
          <w:numId w:val="3"/>
        </w:numPr>
        <w:tabs>
          <w:tab w:val="left" w:pos="540"/>
        </w:tabs>
        <w:spacing w:line="217" w:lineRule="auto"/>
        <w:ind w:left="5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>Ensure working papers are a</w:t>
      </w:r>
      <w:r>
        <w:rPr>
          <w:rFonts w:eastAsia="Times New Roman"/>
        </w:rPr>
        <w:t>dequately documented, properly filed and audit evidence obtained is sufficient which represent true and fair view to the Directors and The Rector.</w:t>
      </w:r>
    </w:p>
    <w:p w:rsidR="003E1A61" w:rsidRDefault="003E1A61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3E1A61" w:rsidRDefault="00884FB6">
      <w:pPr>
        <w:numPr>
          <w:ilvl w:val="0"/>
          <w:numId w:val="3"/>
        </w:numPr>
        <w:tabs>
          <w:tab w:val="left" w:pos="540"/>
        </w:tabs>
        <w:spacing w:line="226" w:lineRule="auto"/>
        <w:ind w:left="540" w:hanging="367"/>
        <w:rPr>
          <w:rFonts w:ascii="Symbol" w:eastAsia="Symbol" w:hAnsi="Symbol" w:cs="Symbol"/>
        </w:rPr>
      </w:pPr>
      <w:r>
        <w:rPr>
          <w:rFonts w:eastAsia="Times New Roman"/>
        </w:rPr>
        <w:t>Conduct audit of procurement of goods and services as per PPRA Rules and Regulations, 2004 and Procurement o</w:t>
      </w:r>
      <w:r>
        <w:rPr>
          <w:rFonts w:eastAsia="Times New Roman"/>
        </w:rPr>
        <w:t>f Service Regulations, 2010.</w:t>
      </w:r>
    </w:p>
    <w:p w:rsidR="003E1A61" w:rsidRDefault="003E1A61">
      <w:pPr>
        <w:spacing w:line="325" w:lineRule="exact"/>
        <w:rPr>
          <w:sz w:val="20"/>
          <w:szCs w:val="20"/>
        </w:rPr>
      </w:pPr>
    </w:p>
    <w:p w:rsidR="003E1A61" w:rsidRDefault="00884FB6">
      <w:pPr>
        <w:ind w:left="134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Senior Audit Associate</w:t>
      </w:r>
    </w:p>
    <w:p w:rsidR="003E1A61" w:rsidRDefault="00884FB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-135890</wp:posOffset>
            </wp:positionV>
            <wp:extent cx="629920" cy="2667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1A61" w:rsidRDefault="003E1A61">
      <w:pPr>
        <w:spacing w:line="57" w:lineRule="exact"/>
        <w:rPr>
          <w:sz w:val="20"/>
          <w:szCs w:val="20"/>
        </w:rPr>
      </w:pPr>
    </w:p>
    <w:p w:rsidR="003E1A61" w:rsidRDefault="00884FB6">
      <w:pPr>
        <w:tabs>
          <w:tab w:val="left" w:pos="8100"/>
        </w:tabs>
        <w:ind w:left="1340"/>
        <w:rPr>
          <w:sz w:val="20"/>
          <w:szCs w:val="20"/>
        </w:rPr>
      </w:pPr>
      <w:r>
        <w:rPr>
          <w:rFonts w:eastAsia="Times New Roman"/>
          <w:i/>
          <w:iCs/>
        </w:rPr>
        <w:t>KPMG Taseer Hadi &amp; Co, Islamabad (Private Sector)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</w:rPr>
        <w:t>Nov09- May 13</w:t>
      </w:r>
    </w:p>
    <w:p w:rsidR="003E1A61" w:rsidRDefault="003E1A6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58240;visibility:visible;mso-wrap-distance-left:0;mso-wrap-distance-right:0" from="66.95pt,-.8pt" to="476.6pt,-.8pt" o:allowincell="f" strokeweight=".21164mm"/>
        </w:pict>
      </w:r>
    </w:p>
    <w:p w:rsidR="003E1A61" w:rsidRDefault="003E1A61">
      <w:pPr>
        <w:spacing w:line="91" w:lineRule="exact"/>
        <w:rPr>
          <w:sz w:val="20"/>
          <w:szCs w:val="20"/>
        </w:rPr>
      </w:pPr>
    </w:p>
    <w:p w:rsidR="003E1A61" w:rsidRDefault="00884FB6">
      <w:pPr>
        <w:spacing w:line="234" w:lineRule="auto"/>
        <w:ind w:left="140"/>
        <w:rPr>
          <w:sz w:val="20"/>
          <w:szCs w:val="20"/>
        </w:rPr>
      </w:pPr>
      <w:r>
        <w:rPr>
          <w:rFonts w:eastAsia="Times New Roman"/>
        </w:rPr>
        <w:t xml:space="preserve">KPMG has a diversified clientele with clients of Manufacturing sector, Financial sector, Oil &amp; Gas, Telecom, Hospitality and Non </w:t>
      </w:r>
      <w:r>
        <w:rPr>
          <w:rFonts w:eastAsia="Times New Roman"/>
        </w:rPr>
        <w:t>Profit Organizations.</w:t>
      </w:r>
    </w:p>
    <w:p w:rsidR="003E1A61" w:rsidRDefault="003E1A61">
      <w:pPr>
        <w:spacing w:line="122" w:lineRule="exact"/>
        <w:rPr>
          <w:sz w:val="20"/>
          <w:szCs w:val="20"/>
        </w:rPr>
      </w:pPr>
    </w:p>
    <w:p w:rsidR="003E1A61" w:rsidRDefault="00884FB6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Key Responsibilities:</w:t>
      </w:r>
    </w:p>
    <w:p w:rsidR="003E1A61" w:rsidRDefault="00884FB6">
      <w:pPr>
        <w:numPr>
          <w:ilvl w:val="0"/>
          <w:numId w:val="4"/>
        </w:numPr>
        <w:tabs>
          <w:tab w:val="left" w:pos="540"/>
        </w:tabs>
        <w:spacing w:line="238" w:lineRule="auto"/>
        <w:ind w:left="540" w:hanging="369"/>
        <w:rPr>
          <w:rFonts w:ascii="Symbol" w:eastAsia="Symbol" w:hAnsi="Symbol" w:cs="Symbol"/>
        </w:rPr>
      </w:pPr>
      <w:r>
        <w:rPr>
          <w:rFonts w:eastAsia="Times New Roman"/>
        </w:rPr>
        <w:t>Planning audit and review engagements in line with ISAs and KPMG Audit Manual.</w:t>
      </w:r>
    </w:p>
    <w:p w:rsidR="003E1A61" w:rsidRDefault="003E1A61">
      <w:pPr>
        <w:spacing w:line="21" w:lineRule="exact"/>
        <w:rPr>
          <w:rFonts w:ascii="Symbol" w:eastAsia="Symbol" w:hAnsi="Symbol" w:cs="Symbol"/>
        </w:rPr>
      </w:pPr>
    </w:p>
    <w:p w:rsidR="003E1A61" w:rsidRDefault="00884FB6">
      <w:pPr>
        <w:numPr>
          <w:ilvl w:val="0"/>
          <w:numId w:val="4"/>
        </w:numPr>
        <w:tabs>
          <w:tab w:val="left" w:pos="540"/>
        </w:tabs>
        <w:ind w:left="540" w:hanging="369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Understanding the business cycles, internal controls system and identification of significant risk areas.</w:t>
      </w:r>
    </w:p>
    <w:p w:rsidR="003E1A61" w:rsidRDefault="00884FB6">
      <w:pPr>
        <w:numPr>
          <w:ilvl w:val="0"/>
          <w:numId w:val="4"/>
        </w:numPr>
        <w:tabs>
          <w:tab w:val="left" w:pos="540"/>
        </w:tabs>
        <w:ind w:left="540" w:hanging="369"/>
        <w:rPr>
          <w:rFonts w:ascii="Symbol" w:eastAsia="Symbol" w:hAnsi="Symbol" w:cs="Symbol"/>
        </w:rPr>
      </w:pPr>
      <w:r>
        <w:rPr>
          <w:rFonts w:eastAsia="Times New Roman"/>
        </w:rPr>
        <w:t>Allocation of work to tea</w:t>
      </w:r>
      <w:r>
        <w:rPr>
          <w:rFonts w:eastAsia="Times New Roman"/>
        </w:rPr>
        <w:t>m members and discussing critical areas and audit strategy.</w:t>
      </w:r>
    </w:p>
    <w:p w:rsidR="003E1A61" w:rsidRDefault="00884FB6">
      <w:pPr>
        <w:numPr>
          <w:ilvl w:val="0"/>
          <w:numId w:val="4"/>
        </w:numPr>
        <w:tabs>
          <w:tab w:val="left" w:pos="540"/>
        </w:tabs>
        <w:ind w:left="540" w:hanging="369"/>
        <w:rPr>
          <w:rFonts w:ascii="Symbol" w:eastAsia="Symbol" w:hAnsi="Symbol" w:cs="Symbol"/>
        </w:rPr>
      </w:pPr>
      <w:r>
        <w:rPr>
          <w:rFonts w:eastAsia="Times New Roman"/>
        </w:rPr>
        <w:t>Review of compliance with best practices of code of corporate governance.</w:t>
      </w:r>
    </w:p>
    <w:p w:rsidR="003E1A61" w:rsidRDefault="003E1A61">
      <w:pPr>
        <w:sectPr w:rsidR="003E1A61">
          <w:pgSz w:w="12240" w:h="15840"/>
          <w:pgMar w:top="1259" w:right="1260" w:bottom="0" w:left="1440" w:header="0" w:footer="0" w:gutter="0"/>
          <w:cols w:space="720" w:equalWidth="0">
            <w:col w:w="9540"/>
          </w:cols>
        </w:sectPr>
      </w:pPr>
    </w:p>
    <w:p w:rsidR="003E1A61" w:rsidRDefault="003E1A61">
      <w:pPr>
        <w:spacing w:line="209" w:lineRule="exact"/>
        <w:rPr>
          <w:sz w:val="20"/>
          <w:szCs w:val="20"/>
        </w:rPr>
      </w:pPr>
    </w:p>
    <w:p w:rsidR="003E1A61" w:rsidRDefault="00884FB6">
      <w:pPr>
        <w:tabs>
          <w:tab w:val="left" w:pos="8520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Resume: </w:t>
      </w:r>
      <w:proofErr w:type="spellStart"/>
      <w:r>
        <w:rPr>
          <w:rFonts w:eastAsia="Times New Roman"/>
          <w:sz w:val="20"/>
          <w:szCs w:val="20"/>
        </w:rPr>
        <w:t>Fahim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 xml:space="preserve">Page </w:t>
      </w:r>
      <w:r>
        <w:rPr>
          <w:rFonts w:eastAsia="Times New Roman"/>
          <w:b/>
          <w:bCs/>
          <w:sz w:val="18"/>
          <w:szCs w:val="18"/>
        </w:rPr>
        <w:t>2</w:t>
      </w:r>
      <w:r>
        <w:rPr>
          <w:rFonts w:eastAsia="Times New Roman"/>
          <w:sz w:val="18"/>
          <w:szCs w:val="18"/>
        </w:rPr>
        <w:t xml:space="preserve"> of </w:t>
      </w:r>
      <w:r>
        <w:rPr>
          <w:rFonts w:eastAsia="Times New Roman"/>
          <w:b/>
          <w:bCs/>
          <w:sz w:val="18"/>
          <w:szCs w:val="18"/>
        </w:rPr>
        <w:t>3</w:t>
      </w:r>
    </w:p>
    <w:p w:rsidR="003E1A61" w:rsidRDefault="003E1A61">
      <w:pPr>
        <w:sectPr w:rsidR="003E1A61">
          <w:type w:val="continuous"/>
          <w:pgSz w:w="12240" w:h="15840"/>
          <w:pgMar w:top="1259" w:right="1260" w:bottom="0" w:left="1440" w:header="0" w:footer="0" w:gutter="0"/>
          <w:cols w:space="720" w:equalWidth="0">
            <w:col w:w="9540"/>
          </w:cols>
        </w:sectPr>
      </w:pPr>
    </w:p>
    <w:p w:rsidR="003E1A61" w:rsidRDefault="00884FB6">
      <w:pPr>
        <w:numPr>
          <w:ilvl w:val="0"/>
          <w:numId w:val="5"/>
        </w:numPr>
        <w:tabs>
          <w:tab w:val="left" w:pos="660"/>
        </w:tabs>
        <w:ind w:left="660" w:hanging="369"/>
        <w:rPr>
          <w:rFonts w:ascii="Symbol" w:eastAsia="Symbol" w:hAnsi="Symbol" w:cs="Symbol"/>
        </w:rPr>
      </w:pPr>
      <w:r>
        <w:rPr>
          <w:rFonts w:eastAsia="Times New Roman"/>
        </w:rPr>
        <w:lastRenderedPageBreak/>
        <w:t xml:space="preserve">Carrying out audit execution &amp; review of all account </w:t>
      </w:r>
      <w:r>
        <w:rPr>
          <w:rFonts w:eastAsia="Times New Roman"/>
        </w:rPr>
        <w:t>heads while performing duties as a team leader.</w:t>
      </w:r>
    </w:p>
    <w:p w:rsidR="003E1A61" w:rsidRDefault="003E1A61">
      <w:pPr>
        <w:spacing w:line="9" w:lineRule="exact"/>
        <w:rPr>
          <w:rFonts w:ascii="Symbol" w:eastAsia="Symbol" w:hAnsi="Symbol" w:cs="Symbol"/>
        </w:rPr>
      </w:pPr>
    </w:p>
    <w:p w:rsidR="003E1A61" w:rsidRDefault="00884FB6">
      <w:pPr>
        <w:numPr>
          <w:ilvl w:val="0"/>
          <w:numId w:val="5"/>
        </w:numPr>
        <w:tabs>
          <w:tab w:val="left" w:pos="660"/>
        </w:tabs>
        <w:ind w:left="660" w:hanging="369"/>
        <w:rPr>
          <w:rFonts w:ascii="Symbol" w:eastAsia="Symbol" w:hAnsi="Symbol" w:cs="Symbol"/>
        </w:rPr>
      </w:pPr>
      <w:r>
        <w:rPr>
          <w:rFonts w:eastAsia="Times New Roman"/>
        </w:rPr>
        <w:t>Identification of internal control weaknesses and giving recommendations in line with best practices.</w:t>
      </w:r>
    </w:p>
    <w:p w:rsidR="003E1A61" w:rsidRDefault="003E1A61">
      <w:pPr>
        <w:spacing w:line="27" w:lineRule="exact"/>
        <w:rPr>
          <w:rFonts w:ascii="Symbol" w:eastAsia="Symbol" w:hAnsi="Symbol" w:cs="Symbol"/>
        </w:rPr>
      </w:pPr>
    </w:p>
    <w:p w:rsidR="003E1A61" w:rsidRDefault="00884FB6">
      <w:pPr>
        <w:numPr>
          <w:ilvl w:val="0"/>
          <w:numId w:val="5"/>
        </w:numPr>
        <w:tabs>
          <w:tab w:val="left" w:pos="660"/>
        </w:tabs>
        <w:spacing w:line="226" w:lineRule="auto"/>
        <w:ind w:left="660" w:hanging="369"/>
        <w:rPr>
          <w:rFonts w:ascii="Symbol" w:eastAsia="Symbol" w:hAnsi="Symbol" w:cs="Symbol"/>
        </w:rPr>
      </w:pPr>
      <w:r>
        <w:rPr>
          <w:rFonts w:eastAsia="Times New Roman"/>
        </w:rPr>
        <w:t>Ensuring satisfactory clearance of audit engagements from KPMG’s Engagement Quality Control Review.</w:t>
      </w:r>
    </w:p>
    <w:p w:rsidR="003E1A61" w:rsidRDefault="003E1A61">
      <w:pPr>
        <w:spacing w:line="12" w:lineRule="exact"/>
        <w:rPr>
          <w:rFonts w:ascii="Symbol" w:eastAsia="Symbol" w:hAnsi="Symbol" w:cs="Symbol"/>
        </w:rPr>
      </w:pPr>
    </w:p>
    <w:p w:rsidR="003E1A61" w:rsidRDefault="00884FB6">
      <w:pPr>
        <w:numPr>
          <w:ilvl w:val="0"/>
          <w:numId w:val="5"/>
        </w:numPr>
        <w:tabs>
          <w:tab w:val="left" w:pos="660"/>
        </w:tabs>
        <w:ind w:left="660" w:hanging="369"/>
        <w:rPr>
          <w:rFonts w:ascii="Symbol" w:eastAsia="Symbol" w:hAnsi="Symbol" w:cs="Symbol"/>
        </w:rPr>
      </w:pPr>
      <w:r>
        <w:rPr>
          <w:rFonts w:eastAsia="Times New Roman"/>
        </w:rPr>
        <w:t>Successful and timely completion of audit work in line with KPMG Standards / ISAs.</w:t>
      </w:r>
    </w:p>
    <w:p w:rsidR="003E1A61" w:rsidRDefault="00884FB6">
      <w:pPr>
        <w:numPr>
          <w:ilvl w:val="0"/>
          <w:numId w:val="5"/>
        </w:numPr>
        <w:tabs>
          <w:tab w:val="left" w:pos="660"/>
        </w:tabs>
        <w:ind w:left="660" w:hanging="369"/>
        <w:rPr>
          <w:rFonts w:ascii="Symbol" w:eastAsia="Symbol" w:hAnsi="Symbol" w:cs="Symbol"/>
        </w:rPr>
      </w:pPr>
      <w:r>
        <w:rPr>
          <w:rFonts w:eastAsia="Times New Roman"/>
        </w:rPr>
        <w:t>Ensuring completeness, correctness and updated working papers in KPMG e-Audit Software.</w:t>
      </w:r>
    </w:p>
    <w:p w:rsidR="003E1A61" w:rsidRDefault="003E1A6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.95pt;margin-top:8.3pt;width:481.9pt;height:12.6pt;z-index:-251654144;visibility:visible;mso-wrap-distance-left:0;mso-wrap-distance-right:0" o:allowincell="f" fillcolor="silver" stroked="f"/>
        </w:pict>
      </w:r>
    </w:p>
    <w:p w:rsidR="003E1A61" w:rsidRDefault="003E1A61">
      <w:pPr>
        <w:spacing w:line="144" w:lineRule="exact"/>
        <w:rPr>
          <w:sz w:val="20"/>
          <w:szCs w:val="20"/>
        </w:rPr>
      </w:pPr>
    </w:p>
    <w:p w:rsidR="003E1A61" w:rsidRDefault="00884FB6">
      <w:pPr>
        <w:tabs>
          <w:tab w:val="left" w:pos="9580"/>
        </w:tabs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SECTORWISE AUDIT EXPERIENCE OF MAJOR CLIENTS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BFBFBF"/>
          <w:u w:val="single"/>
        </w:rPr>
        <w:t>.</w:t>
      </w:r>
    </w:p>
    <w:p w:rsidR="003E1A61" w:rsidRDefault="003E1A6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59264;visibility:visible;mso-wrap-distance-left:0;mso-wrap-distance-right:0" from=".95pt,-.55pt" to="480.05pt,-.55pt" o:allowincell="f" strokeweight="1.08pt"/>
        </w:pict>
      </w:r>
    </w:p>
    <w:p w:rsidR="003E1A61" w:rsidRDefault="00884FB6">
      <w:pPr>
        <w:spacing w:line="236" w:lineRule="auto"/>
        <w:ind w:left="20" w:right="20"/>
        <w:jc w:val="both"/>
        <w:rPr>
          <w:sz w:val="20"/>
          <w:szCs w:val="20"/>
        </w:rPr>
      </w:pPr>
      <w:r>
        <w:rPr>
          <w:rFonts w:eastAsia="Times New Roman"/>
        </w:rPr>
        <w:t>My experience in KPMG has enabled</w:t>
      </w:r>
      <w:r>
        <w:rPr>
          <w:rFonts w:eastAsia="Times New Roman"/>
        </w:rPr>
        <w:t xml:space="preserve"> me to develop a comprehensive understanding of diversified industries and the accounting and internal control systems implemented at various organizations. The most significant engagements that have contributed to my professional growth include:</w:t>
      </w:r>
    </w:p>
    <w:p w:rsidR="003E1A61" w:rsidRDefault="003E1A61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3180"/>
        <w:gridCol w:w="720"/>
        <w:gridCol w:w="280"/>
        <w:gridCol w:w="1260"/>
        <w:gridCol w:w="1380"/>
        <w:gridCol w:w="2760"/>
        <w:gridCol w:w="60"/>
        <w:gridCol w:w="20"/>
        <w:gridCol w:w="20"/>
      </w:tblGrid>
      <w:tr w:rsidR="003E1A61">
        <w:trPr>
          <w:trHeight w:val="283"/>
        </w:trPr>
        <w:tc>
          <w:tcPr>
            <w:tcW w:w="20" w:type="dxa"/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auto"/>
            </w:tcBorders>
            <w:vAlign w:val="bottom"/>
          </w:tcPr>
          <w:p w:rsidR="003E1A61" w:rsidRDefault="0088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Manufac</w:t>
            </w:r>
            <w:r>
              <w:rPr>
                <w:rFonts w:eastAsia="Times New Roman"/>
              </w:rPr>
              <w:t>turing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3E1A61" w:rsidRDefault="00884FB6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5400" w:type="dxa"/>
            <w:gridSpan w:val="3"/>
            <w:tcBorders>
              <w:top w:val="single" w:sz="8" w:space="0" w:color="auto"/>
            </w:tcBorders>
            <w:vAlign w:val="bottom"/>
          </w:tcPr>
          <w:p w:rsidR="003E1A61" w:rsidRDefault="0088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Fauji Fertilizer Company Limited, Pakistan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A61" w:rsidRDefault="003E1A61">
            <w:pPr>
              <w:rPr>
                <w:sz w:val="1"/>
                <w:szCs w:val="1"/>
              </w:rPr>
            </w:pPr>
          </w:p>
        </w:tc>
      </w:tr>
      <w:tr w:rsidR="003E1A61">
        <w:trPr>
          <w:trHeight w:val="266"/>
        </w:trPr>
        <w:tc>
          <w:tcPr>
            <w:tcW w:w="20" w:type="dxa"/>
            <w:vAlign w:val="bottom"/>
          </w:tcPr>
          <w:p w:rsidR="003E1A61" w:rsidRDefault="003E1A61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vAlign w:val="bottom"/>
          </w:tcPr>
          <w:p w:rsidR="003E1A61" w:rsidRDefault="003E1A6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3E1A61" w:rsidRDefault="003E1A6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E1A61" w:rsidRDefault="00884FB6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5400" w:type="dxa"/>
            <w:gridSpan w:val="3"/>
            <w:vAlign w:val="bottom"/>
          </w:tcPr>
          <w:p w:rsidR="003E1A61" w:rsidRDefault="0088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Bestway Cement Limited, Pakistan</w:t>
            </w:r>
          </w:p>
        </w:tc>
        <w:tc>
          <w:tcPr>
            <w:tcW w:w="60" w:type="dxa"/>
            <w:vAlign w:val="bottom"/>
          </w:tcPr>
          <w:p w:rsidR="003E1A61" w:rsidRDefault="003E1A6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E1A61" w:rsidRDefault="003E1A6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E1A61" w:rsidRDefault="003E1A61">
            <w:pPr>
              <w:rPr>
                <w:sz w:val="1"/>
                <w:szCs w:val="1"/>
              </w:rPr>
            </w:pPr>
          </w:p>
        </w:tc>
      </w:tr>
      <w:tr w:rsidR="003E1A61">
        <w:trPr>
          <w:trHeight w:val="298"/>
        </w:trPr>
        <w:tc>
          <w:tcPr>
            <w:tcW w:w="20" w:type="dxa"/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E1A61" w:rsidRDefault="00884FB6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5400" w:type="dxa"/>
            <w:gridSpan w:val="3"/>
            <w:vAlign w:val="bottom"/>
          </w:tcPr>
          <w:p w:rsidR="003E1A61" w:rsidRDefault="0088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Dubai Pipes Company, UAE</w:t>
            </w:r>
          </w:p>
        </w:tc>
        <w:tc>
          <w:tcPr>
            <w:tcW w:w="60" w:type="dxa"/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A61" w:rsidRDefault="003E1A61">
            <w:pPr>
              <w:rPr>
                <w:sz w:val="1"/>
                <w:szCs w:val="1"/>
              </w:rPr>
            </w:pPr>
          </w:p>
        </w:tc>
      </w:tr>
      <w:tr w:rsidR="003E1A61">
        <w:trPr>
          <w:trHeight w:val="297"/>
        </w:trPr>
        <w:tc>
          <w:tcPr>
            <w:tcW w:w="20" w:type="dxa"/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E1A61" w:rsidRDefault="00884FB6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5400" w:type="dxa"/>
            <w:gridSpan w:val="3"/>
            <w:tcBorders>
              <w:bottom w:val="single" w:sz="8" w:space="0" w:color="auto"/>
            </w:tcBorders>
            <w:vAlign w:val="bottom"/>
          </w:tcPr>
          <w:p w:rsidR="003E1A61" w:rsidRDefault="0088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BASF Construction Chemicals, UAE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A61" w:rsidRDefault="003E1A61">
            <w:pPr>
              <w:rPr>
                <w:sz w:val="1"/>
                <w:szCs w:val="1"/>
              </w:rPr>
            </w:pPr>
          </w:p>
        </w:tc>
      </w:tr>
      <w:tr w:rsidR="003E1A61">
        <w:trPr>
          <w:trHeight w:val="264"/>
        </w:trPr>
        <w:tc>
          <w:tcPr>
            <w:tcW w:w="20" w:type="dxa"/>
            <w:vAlign w:val="bottom"/>
          </w:tcPr>
          <w:p w:rsidR="003E1A61" w:rsidRDefault="003E1A61"/>
        </w:tc>
        <w:tc>
          <w:tcPr>
            <w:tcW w:w="3900" w:type="dxa"/>
            <w:gridSpan w:val="2"/>
            <w:vAlign w:val="bottom"/>
          </w:tcPr>
          <w:p w:rsidR="003E1A61" w:rsidRDefault="00884FB6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Trading Companies</w:t>
            </w:r>
          </w:p>
        </w:tc>
        <w:tc>
          <w:tcPr>
            <w:tcW w:w="280" w:type="dxa"/>
            <w:vAlign w:val="bottom"/>
          </w:tcPr>
          <w:p w:rsidR="003E1A61" w:rsidRDefault="00884FB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5400" w:type="dxa"/>
            <w:gridSpan w:val="3"/>
            <w:vAlign w:val="bottom"/>
          </w:tcPr>
          <w:p w:rsidR="003E1A61" w:rsidRDefault="0088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Al Ghurair Energy DMCC, UAE.</w:t>
            </w:r>
          </w:p>
        </w:tc>
        <w:tc>
          <w:tcPr>
            <w:tcW w:w="60" w:type="dxa"/>
            <w:vAlign w:val="bottom"/>
          </w:tcPr>
          <w:p w:rsidR="003E1A61" w:rsidRDefault="003E1A61"/>
        </w:tc>
        <w:tc>
          <w:tcPr>
            <w:tcW w:w="20" w:type="dxa"/>
            <w:vAlign w:val="bottom"/>
          </w:tcPr>
          <w:p w:rsidR="003E1A61" w:rsidRDefault="003E1A61"/>
        </w:tc>
        <w:tc>
          <w:tcPr>
            <w:tcW w:w="0" w:type="dxa"/>
            <w:vAlign w:val="bottom"/>
          </w:tcPr>
          <w:p w:rsidR="003E1A61" w:rsidRDefault="003E1A61">
            <w:pPr>
              <w:rPr>
                <w:sz w:val="1"/>
                <w:szCs w:val="1"/>
              </w:rPr>
            </w:pPr>
          </w:p>
        </w:tc>
      </w:tr>
      <w:tr w:rsidR="003E1A61">
        <w:trPr>
          <w:trHeight w:val="296"/>
        </w:trPr>
        <w:tc>
          <w:tcPr>
            <w:tcW w:w="20" w:type="dxa"/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E1A61" w:rsidRDefault="00884FB6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5400" w:type="dxa"/>
            <w:gridSpan w:val="3"/>
            <w:vAlign w:val="bottom"/>
          </w:tcPr>
          <w:p w:rsidR="003E1A61" w:rsidRDefault="0088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Al Gurg Stationery </w:t>
            </w:r>
            <w:r>
              <w:rPr>
                <w:rFonts w:eastAsia="Times New Roman"/>
              </w:rPr>
              <w:t>Trading, UAE</w:t>
            </w:r>
          </w:p>
        </w:tc>
        <w:tc>
          <w:tcPr>
            <w:tcW w:w="60" w:type="dxa"/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A61" w:rsidRDefault="003E1A61">
            <w:pPr>
              <w:rPr>
                <w:sz w:val="1"/>
                <w:szCs w:val="1"/>
              </w:rPr>
            </w:pPr>
          </w:p>
        </w:tc>
      </w:tr>
      <w:tr w:rsidR="003E1A61">
        <w:trPr>
          <w:trHeight w:val="298"/>
        </w:trPr>
        <w:tc>
          <w:tcPr>
            <w:tcW w:w="20" w:type="dxa"/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E1A61" w:rsidRDefault="00884FB6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5400" w:type="dxa"/>
            <w:gridSpan w:val="3"/>
            <w:vAlign w:val="bottom"/>
          </w:tcPr>
          <w:p w:rsidR="003E1A61" w:rsidRDefault="0088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Al Reyami Building Materials Trading LLC, UAE</w:t>
            </w:r>
          </w:p>
        </w:tc>
        <w:tc>
          <w:tcPr>
            <w:tcW w:w="60" w:type="dxa"/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A61" w:rsidRDefault="003E1A61">
            <w:pPr>
              <w:rPr>
                <w:sz w:val="1"/>
                <w:szCs w:val="1"/>
              </w:rPr>
            </w:pPr>
          </w:p>
        </w:tc>
      </w:tr>
      <w:tr w:rsidR="003E1A61">
        <w:trPr>
          <w:trHeight w:val="269"/>
        </w:trPr>
        <w:tc>
          <w:tcPr>
            <w:tcW w:w="20" w:type="dxa"/>
            <w:vAlign w:val="bottom"/>
          </w:tcPr>
          <w:p w:rsidR="003E1A61" w:rsidRDefault="003E1A61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vAlign w:val="bottom"/>
          </w:tcPr>
          <w:p w:rsidR="003E1A61" w:rsidRDefault="003E1A6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3E1A61" w:rsidRDefault="003E1A6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E1A61" w:rsidRDefault="00884FB6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5400" w:type="dxa"/>
            <w:gridSpan w:val="3"/>
            <w:vAlign w:val="bottom"/>
          </w:tcPr>
          <w:p w:rsidR="003E1A61" w:rsidRDefault="0088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Gulf Desert Chemicals Company, KSA</w:t>
            </w:r>
          </w:p>
        </w:tc>
        <w:tc>
          <w:tcPr>
            <w:tcW w:w="60" w:type="dxa"/>
            <w:vAlign w:val="bottom"/>
          </w:tcPr>
          <w:p w:rsidR="003E1A61" w:rsidRDefault="003E1A6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E1A61" w:rsidRDefault="003E1A6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E1A61" w:rsidRDefault="003E1A61">
            <w:pPr>
              <w:rPr>
                <w:sz w:val="1"/>
                <w:szCs w:val="1"/>
              </w:rPr>
            </w:pPr>
          </w:p>
        </w:tc>
      </w:tr>
      <w:tr w:rsidR="003E1A61">
        <w:trPr>
          <w:trHeight w:val="273"/>
        </w:trPr>
        <w:tc>
          <w:tcPr>
            <w:tcW w:w="20" w:type="dxa"/>
            <w:vAlign w:val="bottom"/>
          </w:tcPr>
          <w:p w:rsidR="003E1A61" w:rsidRDefault="003E1A61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3E1A61" w:rsidRDefault="003E1A6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E1A61" w:rsidRDefault="003E1A6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E1A61" w:rsidRDefault="00884FB6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5400" w:type="dxa"/>
            <w:gridSpan w:val="3"/>
            <w:tcBorders>
              <w:bottom w:val="single" w:sz="8" w:space="0" w:color="auto"/>
            </w:tcBorders>
            <w:vAlign w:val="bottom"/>
          </w:tcPr>
          <w:p w:rsidR="003E1A61" w:rsidRDefault="0088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Gas and Oil Technology Company, KSA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E1A61" w:rsidRDefault="003E1A6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E1A61" w:rsidRDefault="003E1A6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E1A61" w:rsidRDefault="003E1A61">
            <w:pPr>
              <w:rPr>
                <w:sz w:val="1"/>
                <w:szCs w:val="1"/>
              </w:rPr>
            </w:pPr>
          </w:p>
        </w:tc>
      </w:tr>
      <w:tr w:rsidR="003E1A61">
        <w:trPr>
          <w:trHeight w:val="260"/>
        </w:trPr>
        <w:tc>
          <w:tcPr>
            <w:tcW w:w="20" w:type="dxa"/>
            <w:vAlign w:val="bottom"/>
          </w:tcPr>
          <w:p w:rsidR="003E1A61" w:rsidRDefault="003E1A61"/>
        </w:tc>
        <w:tc>
          <w:tcPr>
            <w:tcW w:w="3900" w:type="dxa"/>
            <w:gridSpan w:val="2"/>
            <w:vAlign w:val="bottom"/>
          </w:tcPr>
          <w:p w:rsidR="003E1A61" w:rsidRDefault="00884F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Non-Profit Organization</w:t>
            </w:r>
          </w:p>
        </w:tc>
        <w:tc>
          <w:tcPr>
            <w:tcW w:w="280" w:type="dxa"/>
            <w:vAlign w:val="bottom"/>
          </w:tcPr>
          <w:p w:rsidR="003E1A61" w:rsidRDefault="00884FB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5400" w:type="dxa"/>
            <w:gridSpan w:val="3"/>
            <w:vAlign w:val="bottom"/>
          </w:tcPr>
          <w:p w:rsidR="003E1A61" w:rsidRDefault="0088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Save the Children, USA</w:t>
            </w:r>
          </w:p>
        </w:tc>
        <w:tc>
          <w:tcPr>
            <w:tcW w:w="60" w:type="dxa"/>
            <w:vAlign w:val="bottom"/>
          </w:tcPr>
          <w:p w:rsidR="003E1A61" w:rsidRDefault="003E1A61"/>
        </w:tc>
        <w:tc>
          <w:tcPr>
            <w:tcW w:w="20" w:type="dxa"/>
            <w:vAlign w:val="bottom"/>
          </w:tcPr>
          <w:p w:rsidR="003E1A61" w:rsidRDefault="003E1A61"/>
        </w:tc>
        <w:tc>
          <w:tcPr>
            <w:tcW w:w="0" w:type="dxa"/>
            <w:vAlign w:val="bottom"/>
          </w:tcPr>
          <w:p w:rsidR="003E1A61" w:rsidRDefault="003E1A61">
            <w:pPr>
              <w:rPr>
                <w:sz w:val="1"/>
                <w:szCs w:val="1"/>
              </w:rPr>
            </w:pPr>
          </w:p>
        </w:tc>
      </w:tr>
      <w:tr w:rsidR="003E1A61">
        <w:trPr>
          <w:trHeight w:val="284"/>
        </w:trPr>
        <w:tc>
          <w:tcPr>
            <w:tcW w:w="20" w:type="dxa"/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E1A61" w:rsidRDefault="00884FB6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5400" w:type="dxa"/>
            <w:gridSpan w:val="3"/>
            <w:vAlign w:val="bottom"/>
          </w:tcPr>
          <w:p w:rsidR="003E1A61" w:rsidRDefault="0088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Creative Associates Incorporation. </w:t>
            </w:r>
            <w:r>
              <w:rPr>
                <w:rFonts w:eastAsia="Times New Roman"/>
              </w:rPr>
              <w:t>USA</w:t>
            </w:r>
          </w:p>
        </w:tc>
        <w:tc>
          <w:tcPr>
            <w:tcW w:w="60" w:type="dxa"/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A61" w:rsidRDefault="003E1A61">
            <w:pPr>
              <w:rPr>
                <w:sz w:val="1"/>
                <w:szCs w:val="1"/>
              </w:rPr>
            </w:pPr>
          </w:p>
        </w:tc>
      </w:tr>
      <w:tr w:rsidR="003E1A61">
        <w:trPr>
          <w:trHeight w:val="288"/>
        </w:trPr>
        <w:tc>
          <w:tcPr>
            <w:tcW w:w="20" w:type="dxa"/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E1A61" w:rsidRDefault="00884FB6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5400" w:type="dxa"/>
            <w:gridSpan w:val="3"/>
            <w:vAlign w:val="bottom"/>
          </w:tcPr>
          <w:p w:rsidR="003E1A61" w:rsidRDefault="0088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Himalayan Wildlife Foundation</w:t>
            </w:r>
          </w:p>
        </w:tc>
        <w:tc>
          <w:tcPr>
            <w:tcW w:w="60" w:type="dxa"/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A61" w:rsidRDefault="003E1A61">
            <w:pPr>
              <w:rPr>
                <w:sz w:val="1"/>
                <w:szCs w:val="1"/>
              </w:rPr>
            </w:pPr>
          </w:p>
        </w:tc>
      </w:tr>
      <w:tr w:rsidR="003E1A61">
        <w:trPr>
          <w:trHeight w:val="288"/>
        </w:trPr>
        <w:tc>
          <w:tcPr>
            <w:tcW w:w="20" w:type="dxa"/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E1A61" w:rsidRDefault="00884FB6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5400" w:type="dxa"/>
            <w:gridSpan w:val="3"/>
            <w:vAlign w:val="bottom"/>
          </w:tcPr>
          <w:p w:rsidR="003E1A61" w:rsidRDefault="0088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AJK Rural Support Program, Pakistan</w:t>
            </w:r>
          </w:p>
        </w:tc>
        <w:tc>
          <w:tcPr>
            <w:tcW w:w="60" w:type="dxa"/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A61" w:rsidRDefault="003E1A61">
            <w:pPr>
              <w:rPr>
                <w:sz w:val="1"/>
                <w:szCs w:val="1"/>
              </w:rPr>
            </w:pPr>
          </w:p>
        </w:tc>
      </w:tr>
      <w:tr w:rsidR="003E1A61">
        <w:trPr>
          <w:trHeight w:val="269"/>
        </w:trPr>
        <w:tc>
          <w:tcPr>
            <w:tcW w:w="20" w:type="dxa"/>
            <w:vAlign w:val="bottom"/>
          </w:tcPr>
          <w:p w:rsidR="003E1A61" w:rsidRDefault="003E1A61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vAlign w:val="bottom"/>
          </w:tcPr>
          <w:p w:rsidR="003E1A61" w:rsidRDefault="003E1A6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3E1A61" w:rsidRDefault="003E1A6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E1A61" w:rsidRDefault="00884FB6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5400" w:type="dxa"/>
            <w:gridSpan w:val="3"/>
            <w:vAlign w:val="bottom"/>
          </w:tcPr>
          <w:p w:rsidR="003E1A61" w:rsidRDefault="0088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BRAC Pakistan (a Micro financing NGO)</w:t>
            </w:r>
          </w:p>
        </w:tc>
        <w:tc>
          <w:tcPr>
            <w:tcW w:w="60" w:type="dxa"/>
            <w:vAlign w:val="bottom"/>
          </w:tcPr>
          <w:p w:rsidR="003E1A61" w:rsidRDefault="003E1A6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E1A61" w:rsidRDefault="003E1A6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E1A61" w:rsidRDefault="003E1A61">
            <w:pPr>
              <w:rPr>
                <w:sz w:val="1"/>
                <w:szCs w:val="1"/>
              </w:rPr>
            </w:pPr>
          </w:p>
        </w:tc>
      </w:tr>
      <w:tr w:rsidR="003E1A61">
        <w:trPr>
          <w:trHeight w:val="52"/>
        </w:trPr>
        <w:tc>
          <w:tcPr>
            <w:tcW w:w="20" w:type="dxa"/>
            <w:vAlign w:val="bottom"/>
          </w:tcPr>
          <w:p w:rsidR="003E1A61" w:rsidRDefault="003E1A61">
            <w:pPr>
              <w:rPr>
                <w:sz w:val="4"/>
                <w:szCs w:val="4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3E1A61" w:rsidRDefault="003E1A6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E1A61" w:rsidRDefault="003E1A61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E1A61" w:rsidRDefault="003E1A6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E1A61" w:rsidRDefault="003E1A61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E1A61" w:rsidRDefault="003E1A61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3E1A61" w:rsidRDefault="003E1A61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E1A61" w:rsidRDefault="003E1A6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E1A61" w:rsidRDefault="003E1A6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E1A61" w:rsidRDefault="003E1A61">
            <w:pPr>
              <w:rPr>
                <w:sz w:val="1"/>
                <w:szCs w:val="1"/>
              </w:rPr>
            </w:pPr>
          </w:p>
        </w:tc>
      </w:tr>
      <w:tr w:rsidR="003E1A61">
        <w:trPr>
          <w:trHeight w:val="256"/>
        </w:trPr>
        <w:tc>
          <w:tcPr>
            <w:tcW w:w="20" w:type="dxa"/>
            <w:vAlign w:val="bottom"/>
          </w:tcPr>
          <w:p w:rsidR="003E1A61" w:rsidRDefault="003E1A61"/>
        </w:tc>
        <w:tc>
          <w:tcPr>
            <w:tcW w:w="3900" w:type="dxa"/>
            <w:gridSpan w:val="2"/>
            <w:vAlign w:val="bottom"/>
          </w:tcPr>
          <w:p w:rsidR="003E1A61" w:rsidRDefault="00884F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Service Industry</w:t>
            </w:r>
          </w:p>
        </w:tc>
        <w:tc>
          <w:tcPr>
            <w:tcW w:w="280" w:type="dxa"/>
            <w:vAlign w:val="bottom"/>
          </w:tcPr>
          <w:p w:rsidR="003E1A61" w:rsidRDefault="00884FB6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5400" w:type="dxa"/>
            <w:gridSpan w:val="3"/>
            <w:vAlign w:val="bottom"/>
          </w:tcPr>
          <w:p w:rsidR="003E1A61" w:rsidRDefault="0088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Retail Logistics LLC, UAE</w:t>
            </w:r>
          </w:p>
        </w:tc>
        <w:tc>
          <w:tcPr>
            <w:tcW w:w="60" w:type="dxa"/>
            <w:vAlign w:val="bottom"/>
          </w:tcPr>
          <w:p w:rsidR="003E1A61" w:rsidRDefault="003E1A61"/>
        </w:tc>
        <w:tc>
          <w:tcPr>
            <w:tcW w:w="20" w:type="dxa"/>
            <w:vAlign w:val="bottom"/>
          </w:tcPr>
          <w:p w:rsidR="003E1A61" w:rsidRDefault="003E1A61"/>
        </w:tc>
        <w:tc>
          <w:tcPr>
            <w:tcW w:w="0" w:type="dxa"/>
            <w:vAlign w:val="bottom"/>
          </w:tcPr>
          <w:p w:rsidR="003E1A61" w:rsidRDefault="003E1A61">
            <w:pPr>
              <w:rPr>
                <w:sz w:val="1"/>
                <w:szCs w:val="1"/>
              </w:rPr>
            </w:pPr>
          </w:p>
        </w:tc>
      </w:tr>
      <w:tr w:rsidR="003E1A61">
        <w:trPr>
          <w:trHeight w:val="284"/>
        </w:trPr>
        <w:tc>
          <w:tcPr>
            <w:tcW w:w="20" w:type="dxa"/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E1A61" w:rsidRDefault="00884FB6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5400" w:type="dxa"/>
            <w:gridSpan w:val="3"/>
            <w:vAlign w:val="bottom"/>
          </w:tcPr>
          <w:p w:rsidR="003E1A61" w:rsidRDefault="0088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Hadeed Trading FZE, UAE</w:t>
            </w:r>
          </w:p>
        </w:tc>
        <w:tc>
          <w:tcPr>
            <w:tcW w:w="60" w:type="dxa"/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A61" w:rsidRDefault="003E1A61">
            <w:pPr>
              <w:rPr>
                <w:sz w:val="1"/>
                <w:szCs w:val="1"/>
              </w:rPr>
            </w:pPr>
          </w:p>
        </w:tc>
      </w:tr>
      <w:tr w:rsidR="003E1A61">
        <w:trPr>
          <w:trHeight w:val="269"/>
        </w:trPr>
        <w:tc>
          <w:tcPr>
            <w:tcW w:w="20" w:type="dxa"/>
            <w:vAlign w:val="bottom"/>
          </w:tcPr>
          <w:p w:rsidR="003E1A61" w:rsidRDefault="003E1A61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vAlign w:val="bottom"/>
          </w:tcPr>
          <w:p w:rsidR="003E1A61" w:rsidRDefault="003E1A6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3E1A61" w:rsidRDefault="003E1A6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E1A61" w:rsidRDefault="00884FB6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5400" w:type="dxa"/>
            <w:gridSpan w:val="3"/>
            <w:vAlign w:val="bottom"/>
          </w:tcPr>
          <w:p w:rsidR="003E1A61" w:rsidRDefault="0088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Pan Gulf </w:t>
            </w:r>
            <w:r>
              <w:rPr>
                <w:rFonts w:eastAsia="Times New Roman"/>
              </w:rPr>
              <w:t>Telecommunications, KSA</w:t>
            </w:r>
          </w:p>
        </w:tc>
        <w:tc>
          <w:tcPr>
            <w:tcW w:w="60" w:type="dxa"/>
            <w:vAlign w:val="bottom"/>
          </w:tcPr>
          <w:p w:rsidR="003E1A61" w:rsidRDefault="003E1A6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E1A61" w:rsidRDefault="003E1A6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E1A61" w:rsidRDefault="003E1A61">
            <w:pPr>
              <w:rPr>
                <w:sz w:val="1"/>
                <w:szCs w:val="1"/>
              </w:rPr>
            </w:pPr>
          </w:p>
        </w:tc>
      </w:tr>
      <w:tr w:rsidR="003E1A61">
        <w:trPr>
          <w:trHeight w:val="269"/>
        </w:trPr>
        <w:tc>
          <w:tcPr>
            <w:tcW w:w="20" w:type="dxa"/>
            <w:vAlign w:val="bottom"/>
          </w:tcPr>
          <w:p w:rsidR="003E1A61" w:rsidRDefault="003E1A61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vAlign w:val="bottom"/>
          </w:tcPr>
          <w:p w:rsidR="003E1A61" w:rsidRDefault="003E1A6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3E1A61" w:rsidRDefault="003E1A6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E1A61" w:rsidRDefault="00884FB6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5400" w:type="dxa"/>
            <w:gridSpan w:val="3"/>
            <w:vAlign w:val="bottom"/>
          </w:tcPr>
          <w:p w:rsidR="003E1A61" w:rsidRDefault="0088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Rehal Al Sharq Logistics Service Company, KSA</w:t>
            </w:r>
          </w:p>
        </w:tc>
        <w:tc>
          <w:tcPr>
            <w:tcW w:w="60" w:type="dxa"/>
            <w:vAlign w:val="bottom"/>
          </w:tcPr>
          <w:p w:rsidR="003E1A61" w:rsidRDefault="003E1A6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E1A61" w:rsidRDefault="003E1A6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E1A61" w:rsidRDefault="003E1A61">
            <w:pPr>
              <w:rPr>
                <w:sz w:val="1"/>
                <w:szCs w:val="1"/>
              </w:rPr>
            </w:pPr>
          </w:p>
        </w:tc>
      </w:tr>
      <w:tr w:rsidR="003E1A61">
        <w:trPr>
          <w:trHeight w:val="269"/>
        </w:trPr>
        <w:tc>
          <w:tcPr>
            <w:tcW w:w="20" w:type="dxa"/>
            <w:vAlign w:val="bottom"/>
          </w:tcPr>
          <w:p w:rsidR="003E1A61" w:rsidRDefault="003E1A61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vAlign w:val="bottom"/>
          </w:tcPr>
          <w:p w:rsidR="003E1A61" w:rsidRDefault="003E1A6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3E1A61" w:rsidRDefault="003E1A6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E1A61" w:rsidRDefault="00884FB6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5400" w:type="dxa"/>
            <w:gridSpan w:val="3"/>
            <w:vAlign w:val="bottom"/>
          </w:tcPr>
          <w:p w:rsidR="003E1A61" w:rsidRDefault="0088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Mizat Al Khaleej Holding Company, KSA</w:t>
            </w:r>
          </w:p>
        </w:tc>
        <w:tc>
          <w:tcPr>
            <w:tcW w:w="60" w:type="dxa"/>
            <w:vAlign w:val="bottom"/>
          </w:tcPr>
          <w:p w:rsidR="003E1A61" w:rsidRDefault="003E1A6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E1A61" w:rsidRDefault="003E1A6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E1A61" w:rsidRDefault="003E1A61">
            <w:pPr>
              <w:rPr>
                <w:sz w:val="1"/>
                <w:szCs w:val="1"/>
              </w:rPr>
            </w:pPr>
          </w:p>
        </w:tc>
      </w:tr>
      <w:tr w:rsidR="003E1A61">
        <w:trPr>
          <w:trHeight w:val="269"/>
        </w:trPr>
        <w:tc>
          <w:tcPr>
            <w:tcW w:w="20" w:type="dxa"/>
            <w:vAlign w:val="bottom"/>
          </w:tcPr>
          <w:p w:rsidR="003E1A61" w:rsidRDefault="003E1A61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vAlign w:val="bottom"/>
          </w:tcPr>
          <w:p w:rsidR="003E1A61" w:rsidRDefault="003E1A6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3E1A61" w:rsidRDefault="003E1A6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E1A61" w:rsidRDefault="00884FB6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5400" w:type="dxa"/>
            <w:gridSpan w:val="3"/>
            <w:vAlign w:val="bottom"/>
          </w:tcPr>
          <w:p w:rsidR="003E1A61" w:rsidRDefault="0088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SeaDrill GCC Operations, KSA</w:t>
            </w:r>
          </w:p>
        </w:tc>
        <w:tc>
          <w:tcPr>
            <w:tcW w:w="60" w:type="dxa"/>
            <w:vAlign w:val="bottom"/>
          </w:tcPr>
          <w:p w:rsidR="003E1A61" w:rsidRDefault="003E1A6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E1A61" w:rsidRDefault="003E1A6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E1A61" w:rsidRDefault="003E1A61">
            <w:pPr>
              <w:rPr>
                <w:sz w:val="1"/>
                <w:szCs w:val="1"/>
              </w:rPr>
            </w:pPr>
          </w:p>
        </w:tc>
      </w:tr>
      <w:tr w:rsidR="003E1A61">
        <w:trPr>
          <w:trHeight w:val="69"/>
        </w:trPr>
        <w:tc>
          <w:tcPr>
            <w:tcW w:w="20" w:type="dxa"/>
            <w:vAlign w:val="bottom"/>
          </w:tcPr>
          <w:p w:rsidR="003E1A61" w:rsidRDefault="003E1A61">
            <w:pPr>
              <w:rPr>
                <w:sz w:val="6"/>
                <w:szCs w:val="6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3E1A61" w:rsidRDefault="003E1A61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E1A61" w:rsidRDefault="003E1A61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E1A61" w:rsidRDefault="003E1A6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E1A61" w:rsidRDefault="003E1A61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E1A61" w:rsidRDefault="003E1A61">
            <w:pPr>
              <w:rPr>
                <w:sz w:val="6"/>
                <w:szCs w:val="6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3E1A61" w:rsidRDefault="003E1A61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E1A61" w:rsidRDefault="003E1A61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E1A61" w:rsidRDefault="003E1A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E1A61" w:rsidRDefault="003E1A61">
            <w:pPr>
              <w:rPr>
                <w:sz w:val="1"/>
                <w:szCs w:val="1"/>
              </w:rPr>
            </w:pPr>
          </w:p>
        </w:tc>
      </w:tr>
      <w:tr w:rsidR="003E1A61">
        <w:trPr>
          <w:trHeight w:val="256"/>
        </w:trPr>
        <w:tc>
          <w:tcPr>
            <w:tcW w:w="20" w:type="dxa"/>
            <w:vAlign w:val="bottom"/>
          </w:tcPr>
          <w:p w:rsidR="003E1A61" w:rsidRDefault="003E1A61"/>
        </w:tc>
        <w:tc>
          <w:tcPr>
            <w:tcW w:w="3900" w:type="dxa"/>
            <w:gridSpan w:val="2"/>
            <w:vAlign w:val="bottom"/>
          </w:tcPr>
          <w:p w:rsidR="003E1A61" w:rsidRDefault="00884F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Financial Sector</w:t>
            </w:r>
          </w:p>
        </w:tc>
        <w:tc>
          <w:tcPr>
            <w:tcW w:w="280" w:type="dxa"/>
            <w:vAlign w:val="bottom"/>
          </w:tcPr>
          <w:p w:rsidR="003E1A61" w:rsidRDefault="00884FB6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5400" w:type="dxa"/>
            <w:gridSpan w:val="3"/>
            <w:vAlign w:val="bottom"/>
          </w:tcPr>
          <w:p w:rsidR="003E1A61" w:rsidRDefault="00884FB6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Saudi United Cooperative Insurance Company (Wala’a)</w:t>
            </w:r>
          </w:p>
        </w:tc>
        <w:tc>
          <w:tcPr>
            <w:tcW w:w="60" w:type="dxa"/>
            <w:vAlign w:val="bottom"/>
          </w:tcPr>
          <w:p w:rsidR="003E1A61" w:rsidRDefault="003E1A61"/>
        </w:tc>
        <w:tc>
          <w:tcPr>
            <w:tcW w:w="20" w:type="dxa"/>
            <w:vAlign w:val="bottom"/>
          </w:tcPr>
          <w:p w:rsidR="003E1A61" w:rsidRDefault="003E1A61"/>
        </w:tc>
        <w:tc>
          <w:tcPr>
            <w:tcW w:w="0" w:type="dxa"/>
            <w:vAlign w:val="bottom"/>
          </w:tcPr>
          <w:p w:rsidR="003E1A61" w:rsidRDefault="003E1A61">
            <w:pPr>
              <w:rPr>
                <w:sz w:val="1"/>
                <w:szCs w:val="1"/>
              </w:rPr>
            </w:pPr>
          </w:p>
        </w:tc>
      </w:tr>
      <w:tr w:rsidR="003E1A61">
        <w:trPr>
          <w:trHeight w:val="253"/>
        </w:trPr>
        <w:tc>
          <w:tcPr>
            <w:tcW w:w="20" w:type="dxa"/>
            <w:vAlign w:val="bottom"/>
          </w:tcPr>
          <w:p w:rsidR="003E1A61" w:rsidRDefault="003E1A61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3E1A61" w:rsidRDefault="003E1A6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E1A61" w:rsidRDefault="003E1A6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E1A61" w:rsidRDefault="003E1A61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  <w:gridSpan w:val="3"/>
            <w:tcBorders>
              <w:bottom w:val="single" w:sz="8" w:space="0" w:color="auto"/>
            </w:tcBorders>
            <w:vAlign w:val="bottom"/>
          </w:tcPr>
          <w:p w:rsidR="003E1A61" w:rsidRDefault="00884FB6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KSA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E1A61" w:rsidRDefault="003E1A6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E1A61" w:rsidRDefault="003E1A6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E1A61" w:rsidRDefault="003E1A61">
            <w:pPr>
              <w:rPr>
                <w:sz w:val="1"/>
                <w:szCs w:val="1"/>
              </w:rPr>
            </w:pPr>
          </w:p>
        </w:tc>
      </w:tr>
      <w:tr w:rsidR="003E1A61">
        <w:trPr>
          <w:trHeight w:val="257"/>
        </w:trPr>
        <w:tc>
          <w:tcPr>
            <w:tcW w:w="20" w:type="dxa"/>
            <w:vAlign w:val="bottom"/>
          </w:tcPr>
          <w:p w:rsidR="003E1A61" w:rsidRDefault="003E1A61"/>
        </w:tc>
        <w:tc>
          <w:tcPr>
            <w:tcW w:w="3900" w:type="dxa"/>
            <w:gridSpan w:val="2"/>
            <w:vAlign w:val="bottom"/>
          </w:tcPr>
          <w:p w:rsidR="003E1A61" w:rsidRDefault="00884F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Food and Hospitality</w:t>
            </w:r>
          </w:p>
        </w:tc>
        <w:tc>
          <w:tcPr>
            <w:tcW w:w="280" w:type="dxa"/>
            <w:vAlign w:val="bottom"/>
          </w:tcPr>
          <w:p w:rsidR="003E1A61" w:rsidRDefault="00884FB6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5400" w:type="dxa"/>
            <w:gridSpan w:val="3"/>
            <w:vAlign w:val="bottom"/>
          </w:tcPr>
          <w:p w:rsidR="003E1A61" w:rsidRDefault="0088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Al Gosaibi Hotel Limited (5-star hotel) KSA</w:t>
            </w:r>
          </w:p>
        </w:tc>
        <w:tc>
          <w:tcPr>
            <w:tcW w:w="60" w:type="dxa"/>
            <w:vAlign w:val="bottom"/>
          </w:tcPr>
          <w:p w:rsidR="003E1A61" w:rsidRDefault="003E1A61"/>
        </w:tc>
        <w:tc>
          <w:tcPr>
            <w:tcW w:w="20" w:type="dxa"/>
            <w:vAlign w:val="bottom"/>
          </w:tcPr>
          <w:p w:rsidR="003E1A61" w:rsidRDefault="003E1A61"/>
        </w:tc>
        <w:tc>
          <w:tcPr>
            <w:tcW w:w="0" w:type="dxa"/>
            <w:vAlign w:val="bottom"/>
          </w:tcPr>
          <w:p w:rsidR="003E1A61" w:rsidRDefault="003E1A61">
            <w:pPr>
              <w:rPr>
                <w:sz w:val="1"/>
                <w:szCs w:val="1"/>
              </w:rPr>
            </w:pPr>
          </w:p>
        </w:tc>
      </w:tr>
      <w:tr w:rsidR="003E1A61">
        <w:trPr>
          <w:trHeight w:val="268"/>
        </w:trPr>
        <w:tc>
          <w:tcPr>
            <w:tcW w:w="20" w:type="dxa"/>
            <w:vAlign w:val="bottom"/>
          </w:tcPr>
          <w:p w:rsidR="003E1A61" w:rsidRDefault="003E1A61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vAlign w:val="bottom"/>
          </w:tcPr>
          <w:p w:rsidR="003E1A61" w:rsidRDefault="003E1A6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3E1A61" w:rsidRDefault="003E1A6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E1A61" w:rsidRDefault="00884FB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5400" w:type="dxa"/>
            <w:gridSpan w:val="3"/>
            <w:vAlign w:val="bottom"/>
          </w:tcPr>
          <w:p w:rsidR="003E1A61" w:rsidRDefault="0088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Sanbok Resutant Company, KSA</w:t>
            </w:r>
          </w:p>
        </w:tc>
        <w:tc>
          <w:tcPr>
            <w:tcW w:w="60" w:type="dxa"/>
            <w:vAlign w:val="bottom"/>
          </w:tcPr>
          <w:p w:rsidR="003E1A61" w:rsidRDefault="003E1A6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E1A61" w:rsidRDefault="003E1A6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E1A61" w:rsidRDefault="003E1A61">
            <w:pPr>
              <w:rPr>
                <w:sz w:val="1"/>
                <w:szCs w:val="1"/>
              </w:rPr>
            </w:pPr>
          </w:p>
        </w:tc>
      </w:tr>
      <w:tr w:rsidR="003E1A61">
        <w:trPr>
          <w:trHeight w:val="269"/>
        </w:trPr>
        <w:tc>
          <w:tcPr>
            <w:tcW w:w="20" w:type="dxa"/>
            <w:vAlign w:val="bottom"/>
          </w:tcPr>
          <w:p w:rsidR="003E1A61" w:rsidRDefault="003E1A61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vAlign w:val="bottom"/>
          </w:tcPr>
          <w:p w:rsidR="003E1A61" w:rsidRDefault="003E1A6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3E1A61" w:rsidRDefault="003E1A6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E1A61" w:rsidRDefault="00884FB6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5400" w:type="dxa"/>
            <w:gridSpan w:val="3"/>
            <w:vAlign w:val="bottom"/>
          </w:tcPr>
          <w:p w:rsidR="003E1A61" w:rsidRDefault="0088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Gulf Mahmal Support Services Company, KSA</w:t>
            </w:r>
          </w:p>
        </w:tc>
        <w:tc>
          <w:tcPr>
            <w:tcW w:w="60" w:type="dxa"/>
            <w:vAlign w:val="bottom"/>
          </w:tcPr>
          <w:p w:rsidR="003E1A61" w:rsidRDefault="003E1A6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E1A61" w:rsidRDefault="003E1A6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E1A61" w:rsidRDefault="003E1A61">
            <w:pPr>
              <w:rPr>
                <w:sz w:val="1"/>
                <w:szCs w:val="1"/>
              </w:rPr>
            </w:pPr>
          </w:p>
        </w:tc>
      </w:tr>
      <w:tr w:rsidR="003E1A61">
        <w:trPr>
          <w:trHeight w:val="26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E1A61" w:rsidRDefault="003E1A61"/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3E1A61" w:rsidRDefault="003E1A61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E1A61" w:rsidRDefault="003E1A61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E1A61" w:rsidRDefault="00884FB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5400" w:type="dxa"/>
            <w:gridSpan w:val="3"/>
            <w:tcBorders>
              <w:bottom w:val="single" w:sz="8" w:space="0" w:color="auto"/>
            </w:tcBorders>
            <w:vAlign w:val="bottom"/>
          </w:tcPr>
          <w:p w:rsidR="003E1A61" w:rsidRDefault="0088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Vita Food Products Company, KSA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E1A61" w:rsidRDefault="003E1A61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E1A61" w:rsidRDefault="003E1A61"/>
        </w:tc>
        <w:tc>
          <w:tcPr>
            <w:tcW w:w="0" w:type="dxa"/>
            <w:vAlign w:val="bottom"/>
          </w:tcPr>
          <w:p w:rsidR="003E1A61" w:rsidRDefault="003E1A61">
            <w:pPr>
              <w:rPr>
                <w:sz w:val="1"/>
                <w:szCs w:val="1"/>
              </w:rPr>
            </w:pPr>
          </w:p>
        </w:tc>
      </w:tr>
      <w:tr w:rsidR="003E1A61">
        <w:trPr>
          <w:trHeight w:val="209"/>
        </w:trPr>
        <w:tc>
          <w:tcPr>
            <w:tcW w:w="20" w:type="dxa"/>
            <w:vMerge w:val="restart"/>
            <w:vAlign w:val="bottom"/>
          </w:tcPr>
          <w:p w:rsidR="003E1A61" w:rsidRDefault="003E1A61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vAlign w:val="bottom"/>
          </w:tcPr>
          <w:p w:rsidR="003E1A61" w:rsidRDefault="003E1A6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3E1A61" w:rsidRDefault="003E1A61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3E1A61" w:rsidRDefault="003E1A6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3E1A61" w:rsidRDefault="003E1A61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Align w:val="bottom"/>
          </w:tcPr>
          <w:p w:rsidR="003E1A61" w:rsidRDefault="003E1A61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vAlign w:val="bottom"/>
          </w:tcPr>
          <w:p w:rsidR="003E1A61" w:rsidRDefault="003E1A61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3E1A61" w:rsidRDefault="003E1A6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3E1A61" w:rsidRDefault="003E1A6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1A61" w:rsidRDefault="003E1A61">
            <w:pPr>
              <w:rPr>
                <w:sz w:val="1"/>
                <w:szCs w:val="1"/>
              </w:rPr>
            </w:pPr>
          </w:p>
        </w:tc>
      </w:tr>
      <w:tr w:rsidR="003E1A61">
        <w:trPr>
          <w:trHeight w:val="213"/>
        </w:trPr>
        <w:tc>
          <w:tcPr>
            <w:tcW w:w="20" w:type="dxa"/>
            <w:vMerge/>
            <w:vAlign w:val="bottom"/>
          </w:tcPr>
          <w:p w:rsidR="003E1A61" w:rsidRDefault="003E1A61">
            <w:pPr>
              <w:rPr>
                <w:sz w:val="18"/>
                <w:szCs w:val="18"/>
              </w:rPr>
            </w:pPr>
          </w:p>
        </w:tc>
        <w:tc>
          <w:tcPr>
            <w:tcW w:w="9580" w:type="dxa"/>
            <w:gridSpan w:val="6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3E1A61" w:rsidRDefault="00884FB6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OTHER CERTIFICATES &amp; OTHER </w:t>
            </w:r>
            <w:r>
              <w:rPr>
                <w:rFonts w:eastAsia="Times New Roman"/>
                <w:b/>
                <w:bCs/>
              </w:rPr>
              <w:t>PROFICIENCIES</w:t>
            </w:r>
          </w:p>
        </w:tc>
        <w:tc>
          <w:tcPr>
            <w:tcW w:w="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E1A61" w:rsidRDefault="00884FB6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BFBFBF"/>
                <w:w w:val="71"/>
                <w:u w:val="single"/>
              </w:rPr>
              <w:t>.</w:t>
            </w:r>
          </w:p>
        </w:tc>
        <w:tc>
          <w:tcPr>
            <w:tcW w:w="20" w:type="dxa"/>
            <w:vMerge/>
            <w:vAlign w:val="bottom"/>
          </w:tcPr>
          <w:p w:rsidR="003E1A61" w:rsidRDefault="003E1A6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1A61" w:rsidRDefault="003E1A61">
            <w:pPr>
              <w:rPr>
                <w:sz w:val="1"/>
                <w:szCs w:val="1"/>
              </w:rPr>
            </w:pPr>
          </w:p>
        </w:tc>
      </w:tr>
      <w:tr w:rsidR="003E1A61">
        <w:trPr>
          <w:trHeight w:val="318"/>
        </w:trPr>
        <w:tc>
          <w:tcPr>
            <w:tcW w:w="3920" w:type="dxa"/>
            <w:gridSpan w:val="3"/>
            <w:vAlign w:val="bottom"/>
          </w:tcPr>
          <w:p w:rsidR="003E1A61" w:rsidRDefault="00884FB6">
            <w:pPr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IT Security Awareness Training</w:t>
            </w:r>
          </w:p>
        </w:tc>
        <w:tc>
          <w:tcPr>
            <w:tcW w:w="280" w:type="dxa"/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3E1A61" w:rsidRDefault="00884FB6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KPMG (Dubai, U.A.E)</w:t>
            </w:r>
          </w:p>
        </w:tc>
        <w:tc>
          <w:tcPr>
            <w:tcW w:w="60" w:type="dxa"/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A61" w:rsidRDefault="003E1A61">
            <w:pPr>
              <w:rPr>
                <w:sz w:val="1"/>
                <w:szCs w:val="1"/>
              </w:rPr>
            </w:pPr>
          </w:p>
        </w:tc>
      </w:tr>
      <w:tr w:rsidR="003E1A61">
        <w:trPr>
          <w:trHeight w:val="240"/>
        </w:trPr>
        <w:tc>
          <w:tcPr>
            <w:tcW w:w="3920" w:type="dxa"/>
            <w:gridSpan w:val="3"/>
            <w:vAlign w:val="bottom"/>
          </w:tcPr>
          <w:p w:rsidR="003E1A61" w:rsidRDefault="00884FB6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Protecting information in KPMG</w:t>
            </w:r>
          </w:p>
        </w:tc>
        <w:tc>
          <w:tcPr>
            <w:tcW w:w="280" w:type="dxa"/>
            <w:vAlign w:val="bottom"/>
          </w:tcPr>
          <w:p w:rsidR="003E1A61" w:rsidRDefault="003E1A6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E1A61" w:rsidRDefault="003E1A61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3E1A61" w:rsidRDefault="00884FB6">
            <w:pPr>
              <w:spacing w:line="240" w:lineRule="exact"/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KPMG (Dubai, U.A.E)</w:t>
            </w:r>
          </w:p>
        </w:tc>
        <w:tc>
          <w:tcPr>
            <w:tcW w:w="60" w:type="dxa"/>
            <w:vAlign w:val="bottom"/>
          </w:tcPr>
          <w:p w:rsidR="003E1A61" w:rsidRDefault="003E1A6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E1A61" w:rsidRDefault="003E1A6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E1A61" w:rsidRDefault="003E1A61">
            <w:pPr>
              <w:rPr>
                <w:sz w:val="1"/>
                <w:szCs w:val="1"/>
              </w:rPr>
            </w:pPr>
          </w:p>
        </w:tc>
      </w:tr>
      <w:tr w:rsidR="003E1A61">
        <w:trPr>
          <w:trHeight w:val="240"/>
        </w:trPr>
        <w:tc>
          <w:tcPr>
            <w:tcW w:w="3920" w:type="dxa"/>
            <w:gridSpan w:val="3"/>
            <w:vAlign w:val="bottom"/>
          </w:tcPr>
          <w:p w:rsidR="003E1A61" w:rsidRDefault="00884FB6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Presentation Skills Training Certificate</w:t>
            </w:r>
          </w:p>
        </w:tc>
        <w:tc>
          <w:tcPr>
            <w:tcW w:w="280" w:type="dxa"/>
            <w:vAlign w:val="bottom"/>
          </w:tcPr>
          <w:p w:rsidR="003E1A61" w:rsidRDefault="003E1A6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E1A61" w:rsidRDefault="003E1A61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3E1A61" w:rsidRDefault="00884FB6">
            <w:pPr>
              <w:spacing w:line="240" w:lineRule="exact"/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SKANS School of accountancy</w:t>
            </w:r>
          </w:p>
        </w:tc>
        <w:tc>
          <w:tcPr>
            <w:tcW w:w="60" w:type="dxa"/>
            <w:vAlign w:val="bottom"/>
          </w:tcPr>
          <w:p w:rsidR="003E1A61" w:rsidRDefault="003E1A6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E1A61" w:rsidRDefault="003E1A6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E1A61" w:rsidRDefault="003E1A61">
            <w:pPr>
              <w:rPr>
                <w:sz w:val="1"/>
                <w:szCs w:val="1"/>
              </w:rPr>
            </w:pPr>
          </w:p>
        </w:tc>
      </w:tr>
      <w:tr w:rsidR="003E1A61">
        <w:trPr>
          <w:trHeight w:val="240"/>
        </w:trPr>
        <w:tc>
          <w:tcPr>
            <w:tcW w:w="4200" w:type="dxa"/>
            <w:gridSpan w:val="4"/>
            <w:vAlign w:val="bottom"/>
          </w:tcPr>
          <w:p w:rsidR="003E1A61" w:rsidRDefault="00884FB6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Certificate of Computer Practical Training</w:t>
            </w:r>
          </w:p>
        </w:tc>
        <w:tc>
          <w:tcPr>
            <w:tcW w:w="1260" w:type="dxa"/>
            <w:vAlign w:val="bottom"/>
          </w:tcPr>
          <w:p w:rsidR="003E1A61" w:rsidRDefault="003E1A61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3E1A61" w:rsidRDefault="00884FB6">
            <w:pPr>
              <w:spacing w:line="240" w:lineRule="exact"/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SKANS School of accountancy</w:t>
            </w:r>
          </w:p>
        </w:tc>
        <w:tc>
          <w:tcPr>
            <w:tcW w:w="60" w:type="dxa"/>
            <w:vAlign w:val="bottom"/>
          </w:tcPr>
          <w:p w:rsidR="003E1A61" w:rsidRDefault="003E1A6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E1A61" w:rsidRDefault="003E1A6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E1A61" w:rsidRDefault="003E1A61">
            <w:pPr>
              <w:rPr>
                <w:sz w:val="1"/>
                <w:szCs w:val="1"/>
              </w:rPr>
            </w:pPr>
          </w:p>
        </w:tc>
      </w:tr>
      <w:tr w:rsidR="003E1A61">
        <w:trPr>
          <w:trHeight w:val="268"/>
        </w:trPr>
        <w:tc>
          <w:tcPr>
            <w:tcW w:w="3920" w:type="dxa"/>
            <w:gridSpan w:val="3"/>
            <w:vAlign w:val="bottom"/>
          </w:tcPr>
          <w:p w:rsidR="003E1A61" w:rsidRDefault="00884FB6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Audit software of KPMG - e-Audit</w:t>
            </w:r>
          </w:p>
        </w:tc>
        <w:tc>
          <w:tcPr>
            <w:tcW w:w="280" w:type="dxa"/>
            <w:vAlign w:val="bottom"/>
          </w:tcPr>
          <w:p w:rsidR="003E1A61" w:rsidRDefault="003E1A6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3E1A61" w:rsidRDefault="003E1A61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3E1A61" w:rsidRDefault="003E1A61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vAlign w:val="bottom"/>
          </w:tcPr>
          <w:p w:rsidR="003E1A61" w:rsidRDefault="003E1A6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3E1A61" w:rsidRDefault="003E1A6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E1A61" w:rsidRDefault="003E1A6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E1A61" w:rsidRDefault="003E1A61">
            <w:pPr>
              <w:rPr>
                <w:sz w:val="1"/>
                <w:szCs w:val="1"/>
              </w:rPr>
            </w:pPr>
          </w:p>
        </w:tc>
      </w:tr>
      <w:tr w:rsidR="003E1A61">
        <w:trPr>
          <w:trHeight w:val="244"/>
        </w:trPr>
        <w:tc>
          <w:tcPr>
            <w:tcW w:w="20" w:type="dxa"/>
            <w:vMerge w:val="restart"/>
            <w:vAlign w:val="bottom"/>
          </w:tcPr>
          <w:p w:rsidR="003E1A61" w:rsidRDefault="003E1A61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Align w:val="bottom"/>
          </w:tcPr>
          <w:p w:rsidR="003E1A61" w:rsidRDefault="003E1A6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3E1A61" w:rsidRDefault="003E1A6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E1A61" w:rsidRDefault="003E1A6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3E1A61" w:rsidRDefault="003E1A6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:rsidR="003E1A61" w:rsidRDefault="003E1A61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vMerge w:val="restart"/>
            <w:vAlign w:val="bottom"/>
          </w:tcPr>
          <w:p w:rsidR="003E1A61" w:rsidRDefault="003E1A6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3E1A61" w:rsidRDefault="003E1A6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E1A61" w:rsidRDefault="003E1A6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E1A61" w:rsidRDefault="003E1A61">
            <w:pPr>
              <w:rPr>
                <w:sz w:val="1"/>
                <w:szCs w:val="1"/>
              </w:rPr>
            </w:pPr>
          </w:p>
        </w:tc>
      </w:tr>
      <w:tr w:rsidR="003E1A61">
        <w:trPr>
          <w:trHeight w:val="213"/>
        </w:trPr>
        <w:tc>
          <w:tcPr>
            <w:tcW w:w="20" w:type="dxa"/>
            <w:vMerge/>
            <w:vAlign w:val="bottom"/>
          </w:tcPr>
          <w:p w:rsidR="003E1A61" w:rsidRDefault="003E1A61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3E1A61" w:rsidRDefault="00884FB6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highlight w:val="lightGray"/>
              </w:rPr>
              <w:t>ACTIVITIES AND INTERESTS.</w:t>
            </w:r>
          </w:p>
        </w:tc>
        <w:tc>
          <w:tcPr>
            <w:tcW w:w="720" w:type="dxa"/>
            <w:vMerge/>
            <w:vAlign w:val="bottom"/>
          </w:tcPr>
          <w:p w:rsidR="003E1A61" w:rsidRDefault="003E1A61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3E1A61" w:rsidRDefault="003E1A6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bottom"/>
          </w:tcPr>
          <w:p w:rsidR="003E1A61" w:rsidRDefault="003E1A61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3E1A61" w:rsidRDefault="00884FB6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highlight w:val="lightGray"/>
              </w:rPr>
              <w:t>LANGUAGES</w:t>
            </w:r>
          </w:p>
        </w:tc>
        <w:tc>
          <w:tcPr>
            <w:tcW w:w="2760" w:type="dxa"/>
            <w:vMerge/>
            <w:vAlign w:val="bottom"/>
          </w:tcPr>
          <w:p w:rsidR="003E1A61" w:rsidRDefault="003E1A61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3E1A61" w:rsidRDefault="003E1A6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3E1A61" w:rsidRDefault="003E1A6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1A61" w:rsidRDefault="003E1A61">
            <w:pPr>
              <w:rPr>
                <w:sz w:val="1"/>
                <w:szCs w:val="1"/>
              </w:rPr>
            </w:pPr>
          </w:p>
        </w:tc>
      </w:tr>
      <w:tr w:rsidR="003E1A61">
        <w:trPr>
          <w:trHeight w:val="375"/>
        </w:trPr>
        <w:tc>
          <w:tcPr>
            <w:tcW w:w="3920" w:type="dxa"/>
            <w:gridSpan w:val="3"/>
            <w:vAlign w:val="bottom"/>
          </w:tcPr>
          <w:p w:rsidR="003E1A61" w:rsidRDefault="00884F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Swimming, Cricket, Squash</w:t>
            </w:r>
          </w:p>
        </w:tc>
        <w:tc>
          <w:tcPr>
            <w:tcW w:w="280" w:type="dxa"/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3E1A61" w:rsidRDefault="00884FB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English – Proficient</w:t>
            </w:r>
          </w:p>
        </w:tc>
        <w:tc>
          <w:tcPr>
            <w:tcW w:w="60" w:type="dxa"/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A61" w:rsidRDefault="003E1A61">
            <w:pPr>
              <w:rPr>
                <w:sz w:val="1"/>
                <w:szCs w:val="1"/>
              </w:rPr>
            </w:pPr>
          </w:p>
        </w:tc>
      </w:tr>
      <w:tr w:rsidR="003E1A61">
        <w:trPr>
          <w:trHeight w:val="276"/>
        </w:trPr>
        <w:tc>
          <w:tcPr>
            <w:tcW w:w="3920" w:type="dxa"/>
            <w:gridSpan w:val="3"/>
            <w:vAlign w:val="bottom"/>
          </w:tcPr>
          <w:p w:rsidR="003E1A61" w:rsidRDefault="00884F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Photography, Camping</w:t>
            </w:r>
          </w:p>
        </w:tc>
        <w:tc>
          <w:tcPr>
            <w:tcW w:w="280" w:type="dxa"/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3E1A61" w:rsidRDefault="00884FB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Urdu – Proficient</w:t>
            </w:r>
          </w:p>
        </w:tc>
        <w:tc>
          <w:tcPr>
            <w:tcW w:w="60" w:type="dxa"/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E1A61" w:rsidRDefault="003E1A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A61" w:rsidRDefault="003E1A61">
            <w:pPr>
              <w:rPr>
                <w:sz w:val="1"/>
                <w:szCs w:val="1"/>
              </w:rPr>
            </w:pPr>
          </w:p>
        </w:tc>
      </w:tr>
      <w:tr w:rsidR="003E1A61">
        <w:trPr>
          <w:trHeight w:val="206"/>
        </w:trPr>
        <w:tc>
          <w:tcPr>
            <w:tcW w:w="3200" w:type="dxa"/>
            <w:gridSpan w:val="2"/>
            <w:vAlign w:val="bottom"/>
          </w:tcPr>
          <w:p w:rsidR="003E1A61" w:rsidRDefault="003E1A6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:rsidR="003E1A61" w:rsidRDefault="003E1A61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3E1A61" w:rsidRDefault="003E1A61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Align w:val="bottom"/>
          </w:tcPr>
          <w:p w:rsidR="003E1A61" w:rsidRDefault="003E1A61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:rsidR="003E1A61" w:rsidRDefault="003E1A61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vAlign w:val="bottom"/>
          </w:tcPr>
          <w:p w:rsidR="003E1A61" w:rsidRDefault="003E1A6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gridSpan w:val="2"/>
            <w:vAlign w:val="bottom"/>
          </w:tcPr>
          <w:p w:rsidR="003E1A61" w:rsidRDefault="003E1A6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1A61" w:rsidRDefault="003E1A61">
            <w:pPr>
              <w:rPr>
                <w:sz w:val="1"/>
                <w:szCs w:val="1"/>
              </w:rPr>
            </w:pPr>
          </w:p>
        </w:tc>
      </w:tr>
      <w:tr w:rsidR="003E1A61">
        <w:trPr>
          <w:trHeight w:val="232"/>
        </w:trPr>
        <w:tc>
          <w:tcPr>
            <w:tcW w:w="20" w:type="dxa"/>
            <w:vAlign w:val="bottom"/>
          </w:tcPr>
          <w:p w:rsidR="003E1A61" w:rsidRDefault="003E1A61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gridSpan w:val="2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3E1A61" w:rsidRDefault="00884FB6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REFERENCES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3E1A61" w:rsidRDefault="003E1A6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3E1A61" w:rsidRDefault="003E1A6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3E1A61" w:rsidRDefault="003E1A61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3E1A61" w:rsidRDefault="003E1A6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E1A61" w:rsidRDefault="00884FB6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BFBFBF"/>
                <w:w w:val="71"/>
                <w:u w:val="single"/>
              </w:rPr>
              <w:t>.</w:t>
            </w:r>
          </w:p>
        </w:tc>
        <w:tc>
          <w:tcPr>
            <w:tcW w:w="20" w:type="dxa"/>
            <w:vAlign w:val="bottom"/>
          </w:tcPr>
          <w:p w:rsidR="003E1A61" w:rsidRDefault="003E1A6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E1A61" w:rsidRDefault="003E1A61">
            <w:pPr>
              <w:rPr>
                <w:sz w:val="1"/>
                <w:szCs w:val="1"/>
              </w:rPr>
            </w:pPr>
          </w:p>
        </w:tc>
      </w:tr>
    </w:tbl>
    <w:p w:rsidR="003E1A61" w:rsidRDefault="00884FB6">
      <w:pPr>
        <w:spacing w:line="232" w:lineRule="auto"/>
        <w:ind w:left="120"/>
        <w:rPr>
          <w:sz w:val="20"/>
          <w:szCs w:val="20"/>
        </w:rPr>
      </w:pPr>
      <w:r>
        <w:rPr>
          <w:rFonts w:eastAsia="Times New Roman"/>
        </w:rPr>
        <w:t>Adequate references will be provided on request.</w:t>
      </w:r>
    </w:p>
    <w:p w:rsidR="003E1A61" w:rsidRDefault="003E1A61">
      <w:pPr>
        <w:sectPr w:rsidR="003E1A61">
          <w:pgSz w:w="12240" w:h="15840"/>
          <w:pgMar w:top="1262" w:right="1260" w:bottom="0" w:left="1320" w:header="0" w:footer="0" w:gutter="0"/>
          <w:cols w:space="720" w:equalWidth="0">
            <w:col w:w="9660"/>
          </w:cols>
        </w:sectPr>
      </w:pPr>
    </w:p>
    <w:p w:rsidR="003E1A61" w:rsidRDefault="003E1A61">
      <w:pPr>
        <w:spacing w:line="97" w:lineRule="exact"/>
        <w:rPr>
          <w:sz w:val="20"/>
          <w:szCs w:val="20"/>
        </w:rPr>
      </w:pPr>
    </w:p>
    <w:p w:rsidR="003E1A61" w:rsidRDefault="00884FB6">
      <w:pPr>
        <w:tabs>
          <w:tab w:val="left" w:pos="8640"/>
        </w:tabs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Resume: </w:t>
      </w:r>
      <w:proofErr w:type="spellStart"/>
      <w:r>
        <w:rPr>
          <w:rFonts w:eastAsia="Times New Roman"/>
          <w:sz w:val="20"/>
          <w:szCs w:val="20"/>
        </w:rPr>
        <w:t>Fahim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 xml:space="preserve">Page </w:t>
      </w:r>
      <w:r>
        <w:rPr>
          <w:rFonts w:eastAsia="Times New Roman"/>
          <w:b/>
          <w:bCs/>
          <w:sz w:val="18"/>
          <w:szCs w:val="18"/>
        </w:rPr>
        <w:t>3</w:t>
      </w:r>
      <w:r>
        <w:rPr>
          <w:rFonts w:eastAsia="Times New Roman"/>
          <w:sz w:val="18"/>
          <w:szCs w:val="18"/>
        </w:rPr>
        <w:t xml:space="preserve"> of </w:t>
      </w:r>
      <w:r>
        <w:rPr>
          <w:rFonts w:eastAsia="Times New Roman"/>
          <w:b/>
          <w:bCs/>
          <w:sz w:val="18"/>
          <w:szCs w:val="18"/>
        </w:rPr>
        <w:t>3</w:t>
      </w:r>
    </w:p>
    <w:p w:rsidR="003E1A61" w:rsidRDefault="003E1A61">
      <w:pPr>
        <w:sectPr w:rsidR="003E1A61">
          <w:type w:val="continuous"/>
          <w:pgSz w:w="12240" w:h="15840"/>
          <w:pgMar w:top="1262" w:right="1260" w:bottom="0" w:left="1320" w:header="0" w:footer="0" w:gutter="0"/>
          <w:cols w:space="720" w:equalWidth="0">
            <w:col w:w="9660"/>
          </w:cols>
        </w:sectPr>
      </w:pPr>
    </w:p>
    <w:p w:rsidR="00884FB6" w:rsidRDefault="00884FB6"/>
    <w:sectPr w:rsidR="00884FB6" w:rsidSect="003E1A61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CF602DCA"/>
    <w:lvl w:ilvl="0" w:tplc="1D8AA1E2">
      <w:start w:val="1"/>
      <w:numFmt w:val="bullet"/>
      <w:lvlText w:val=""/>
      <w:lvlJc w:val="left"/>
    </w:lvl>
    <w:lvl w:ilvl="1" w:tplc="E9225572">
      <w:numFmt w:val="decimal"/>
      <w:lvlText w:val=""/>
      <w:lvlJc w:val="left"/>
    </w:lvl>
    <w:lvl w:ilvl="2" w:tplc="59188986">
      <w:numFmt w:val="decimal"/>
      <w:lvlText w:val=""/>
      <w:lvlJc w:val="left"/>
    </w:lvl>
    <w:lvl w:ilvl="3" w:tplc="4CD28C30">
      <w:numFmt w:val="decimal"/>
      <w:lvlText w:val=""/>
      <w:lvlJc w:val="left"/>
    </w:lvl>
    <w:lvl w:ilvl="4" w:tplc="77CE74B8">
      <w:numFmt w:val="decimal"/>
      <w:lvlText w:val=""/>
      <w:lvlJc w:val="left"/>
    </w:lvl>
    <w:lvl w:ilvl="5" w:tplc="56902542">
      <w:numFmt w:val="decimal"/>
      <w:lvlText w:val=""/>
      <w:lvlJc w:val="left"/>
    </w:lvl>
    <w:lvl w:ilvl="6" w:tplc="B0263A0A">
      <w:numFmt w:val="decimal"/>
      <w:lvlText w:val=""/>
      <w:lvlJc w:val="left"/>
    </w:lvl>
    <w:lvl w:ilvl="7" w:tplc="F2809F0A">
      <w:numFmt w:val="decimal"/>
      <w:lvlText w:val=""/>
      <w:lvlJc w:val="left"/>
    </w:lvl>
    <w:lvl w:ilvl="8" w:tplc="E8582B10">
      <w:numFmt w:val="decimal"/>
      <w:lvlText w:val=""/>
      <w:lvlJc w:val="left"/>
    </w:lvl>
  </w:abstractNum>
  <w:abstractNum w:abstractNumId="1">
    <w:nsid w:val="00003D6C"/>
    <w:multiLevelType w:val="hybridMultilevel"/>
    <w:tmpl w:val="9760B5B6"/>
    <w:lvl w:ilvl="0" w:tplc="A0D6C9EA">
      <w:start w:val="1"/>
      <w:numFmt w:val="bullet"/>
      <w:lvlText w:val=""/>
      <w:lvlJc w:val="left"/>
    </w:lvl>
    <w:lvl w:ilvl="1" w:tplc="D19E3566">
      <w:numFmt w:val="decimal"/>
      <w:lvlText w:val=""/>
      <w:lvlJc w:val="left"/>
    </w:lvl>
    <w:lvl w:ilvl="2" w:tplc="116819EA">
      <w:numFmt w:val="decimal"/>
      <w:lvlText w:val=""/>
      <w:lvlJc w:val="left"/>
    </w:lvl>
    <w:lvl w:ilvl="3" w:tplc="83E2EB3E">
      <w:numFmt w:val="decimal"/>
      <w:lvlText w:val=""/>
      <w:lvlJc w:val="left"/>
    </w:lvl>
    <w:lvl w:ilvl="4" w:tplc="6FDA6E94">
      <w:numFmt w:val="decimal"/>
      <w:lvlText w:val=""/>
      <w:lvlJc w:val="left"/>
    </w:lvl>
    <w:lvl w:ilvl="5" w:tplc="B61C01FE">
      <w:numFmt w:val="decimal"/>
      <w:lvlText w:val=""/>
      <w:lvlJc w:val="left"/>
    </w:lvl>
    <w:lvl w:ilvl="6" w:tplc="D38C44B0">
      <w:numFmt w:val="decimal"/>
      <w:lvlText w:val=""/>
      <w:lvlJc w:val="left"/>
    </w:lvl>
    <w:lvl w:ilvl="7" w:tplc="9AF63822">
      <w:numFmt w:val="decimal"/>
      <w:lvlText w:val=""/>
      <w:lvlJc w:val="left"/>
    </w:lvl>
    <w:lvl w:ilvl="8" w:tplc="D586001E">
      <w:numFmt w:val="decimal"/>
      <w:lvlText w:val=""/>
      <w:lvlJc w:val="left"/>
    </w:lvl>
  </w:abstractNum>
  <w:abstractNum w:abstractNumId="2">
    <w:nsid w:val="00005F90"/>
    <w:multiLevelType w:val="hybridMultilevel"/>
    <w:tmpl w:val="DC3A1A2E"/>
    <w:lvl w:ilvl="0" w:tplc="BA5E5C3A">
      <w:start w:val="1"/>
      <w:numFmt w:val="bullet"/>
      <w:lvlText w:val=""/>
      <w:lvlJc w:val="left"/>
    </w:lvl>
    <w:lvl w:ilvl="1" w:tplc="9FE6D73E">
      <w:numFmt w:val="decimal"/>
      <w:lvlText w:val=""/>
      <w:lvlJc w:val="left"/>
    </w:lvl>
    <w:lvl w:ilvl="2" w:tplc="12EC581E">
      <w:numFmt w:val="decimal"/>
      <w:lvlText w:val=""/>
      <w:lvlJc w:val="left"/>
    </w:lvl>
    <w:lvl w:ilvl="3" w:tplc="C81ED608">
      <w:numFmt w:val="decimal"/>
      <w:lvlText w:val=""/>
      <w:lvlJc w:val="left"/>
    </w:lvl>
    <w:lvl w:ilvl="4" w:tplc="7A46484C">
      <w:numFmt w:val="decimal"/>
      <w:lvlText w:val=""/>
      <w:lvlJc w:val="left"/>
    </w:lvl>
    <w:lvl w:ilvl="5" w:tplc="DADA950A">
      <w:numFmt w:val="decimal"/>
      <w:lvlText w:val=""/>
      <w:lvlJc w:val="left"/>
    </w:lvl>
    <w:lvl w:ilvl="6" w:tplc="288865FE">
      <w:numFmt w:val="decimal"/>
      <w:lvlText w:val=""/>
      <w:lvlJc w:val="left"/>
    </w:lvl>
    <w:lvl w:ilvl="7" w:tplc="4C3E4E68">
      <w:numFmt w:val="decimal"/>
      <w:lvlText w:val=""/>
      <w:lvlJc w:val="left"/>
    </w:lvl>
    <w:lvl w:ilvl="8" w:tplc="6F0C78BC">
      <w:numFmt w:val="decimal"/>
      <w:lvlText w:val=""/>
      <w:lvlJc w:val="left"/>
    </w:lvl>
  </w:abstractNum>
  <w:abstractNum w:abstractNumId="3">
    <w:nsid w:val="00006952"/>
    <w:multiLevelType w:val="hybridMultilevel"/>
    <w:tmpl w:val="B93E2576"/>
    <w:lvl w:ilvl="0" w:tplc="662C027A">
      <w:start w:val="1"/>
      <w:numFmt w:val="bullet"/>
      <w:lvlText w:val=""/>
      <w:lvlJc w:val="left"/>
    </w:lvl>
    <w:lvl w:ilvl="1" w:tplc="3B1ABB60">
      <w:numFmt w:val="decimal"/>
      <w:lvlText w:val=""/>
      <w:lvlJc w:val="left"/>
    </w:lvl>
    <w:lvl w:ilvl="2" w:tplc="E7B6D342">
      <w:numFmt w:val="decimal"/>
      <w:lvlText w:val=""/>
      <w:lvlJc w:val="left"/>
    </w:lvl>
    <w:lvl w:ilvl="3" w:tplc="3F8AF598">
      <w:numFmt w:val="decimal"/>
      <w:lvlText w:val=""/>
      <w:lvlJc w:val="left"/>
    </w:lvl>
    <w:lvl w:ilvl="4" w:tplc="68785CF2">
      <w:numFmt w:val="decimal"/>
      <w:lvlText w:val=""/>
      <w:lvlJc w:val="left"/>
    </w:lvl>
    <w:lvl w:ilvl="5" w:tplc="0ED67C88">
      <w:numFmt w:val="decimal"/>
      <w:lvlText w:val=""/>
      <w:lvlJc w:val="left"/>
    </w:lvl>
    <w:lvl w:ilvl="6" w:tplc="EE109652">
      <w:numFmt w:val="decimal"/>
      <w:lvlText w:val=""/>
      <w:lvlJc w:val="left"/>
    </w:lvl>
    <w:lvl w:ilvl="7" w:tplc="778E0226">
      <w:numFmt w:val="decimal"/>
      <w:lvlText w:val=""/>
      <w:lvlJc w:val="left"/>
    </w:lvl>
    <w:lvl w:ilvl="8" w:tplc="DE24957A">
      <w:numFmt w:val="decimal"/>
      <w:lvlText w:val=""/>
      <w:lvlJc w:val="left"/>
    </w:lvl>
  </w:abstractNum>
  <w:abstractNum w:abstractNumId="4">
    <w:nsid w:val="000072AE"/>
    <w:multiLevelType w:val="hybridMultilevel"/>
    <w:tmpl w:val="7310C4D0"/>
    <w:lvl w:ilvl="0" w:tplc="16B6BE4E">
      <w:start w:val="1"/>
      <w:numFmt w:val="bullet"/>
      <w:lvlText w:val=""/>
      <w:lvlJc w:val="left"/>
    </w:lvl>
    <w:lvl w:ilvl="1" w:tplc="2CECB546">
      <w:numFmt w:val="decimal"/>
      <w:lvlText w:val=""/>
      <w:lvlJc w:val="left"/>
    </w:lvl>
    <w:lvl w:ilvl="2" w:tplc="B9FA3E72">
      <w:numFmt w:val="decimal"/>
      <w:lvlText w:val=""/>
      <w:lvlJc w:val="left"/>
    </w:lvl>
    <w:lvl w:ilvl="3" w:tplc="F0E41C82">
      <w:numFmt w:val="decimal"/>
      <w:lvlText w:val=""/>
      <w:lvlJc w:val="left"/>
    </w:lvl>
    <w:lvl w:ilvl="4" w:tplc="2082A550">
      <w:numFmt w:val="decimal"/>
      <w:lvlText w:val=""/>
      <w:lvlJc w:val="left"/>
    </w:lvl>
    <w:lvl w:ilvl="5" w:tplc="8EC80904">
      <w:numFmt w:val="decimal"/>
      <w:lvlText w:val=""/>
      <w:lvlJc w:val="left"/>
    </w:lvl>
    <w:lvl w:ilvl="6" w:tplc="47E69092">
      <w:numFmt w:val="decimal"/>
      <w:lvlText w:val=""/>
      <w:lvlJc w:val="left"/>
    </w:lvl>
    <w:lvl w:ilvl="7" w:tplc="A716A248">
      <w:numFmt w:val="decimal"/>
      <w:lvlText w:val=""/>
      <w:lvlJc w:val="left"/>
    </w:lvl>
    <w:lvl w:ilvl="8" w:tplc="49E0767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1A61"/>
    <w:rsid w:val="003E1A61"/>
    <w:rsid w:val="00884FB6"/>
    <w:rsid w:val="009224DC"/>
    <w:rsid w:val="00C1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him.377768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2018-02-20T10:29:00Z</dcterms:created>
  <dcterms:modified xsi:type="dcterms:W3CDTF">2018-02-20T10:29:00Z</dcterms:modified>
</cp:coreProperties>
</file>