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8" w:rsidRDefault="00B2397D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color w:val="00000A"/>
          <w:sz w:val="28"/>
          <w:szCs w:val="28"/>
        </w:rPr>
        <w:t>Rizwan</w:t>
      </w:r>
      <w:proofErr w:type="spellEnd"/>
    </w:p>
    <w:p w:rsidR="00EE48C8" w:rsidRDefault="00EE48C8">
      <w:pPr>
        <w:spacing w:line="55" w:lineRule="exact"/>
        <w:rPr>
          <w:sz w:val="24"/>
          <w:szCs w:val="24"/>
        </w:rPr>
      </w:pPr>
    </w:p>
    <w:p w:rsidR="00EE48C8" w:rsidRDefault="00B2397D">
      <w:pPr>
        <w:rPr>
          <w:sz w:val="20"/>
          <w:szCs w:val="20"/>
        </w:rPr>
      </w:pPr>
      <w:r>
        <w:rPr>
          <w:rFonts w:eastAsia="Times New Roman"/>
          <w:color w:val="00000A"/>
        </w:rPr>
        <w:t>Canadian National</w:t>
      </w:r>
    </w:p>
    <w:p w:rsidR="00EE48C8" w:rsidRDefault="00B2397D">
      <w:pPr>
        <w:rPr>
          <w:sz w:val="20"/>
          <w:szCs w:val="20"/>
        </w:rPr>
      </w:pPr>
      <w:r>
        <w:rPr>
          <w:rFonts w:eastAsia="Times New Roman"/>
          <w:color w:val="00000A"/>
        </w:rPr>
        <w:t>C/o-</w:t>
      </w:r>
      <w:r>
        <w:rPr>
          <w:rFonts w:eastAsia="Times New Roman"/>
          <w:color w:val="00000A"/>
        </w:rPr>
        <w:t>T: +971506425478</w:t>
      </w:r>
      <w:r>
        <w:rPr>
          <w:rFonts w:eastAsia="Times New Roman"/>
          <w:color w:val="00000A"/>
        </w:rPr>
        <w:t xml:space="preserve"> | E: </w:t>
      </w:r>
      <w:hyperlink r:id="rId5" w:history="1">
        <w:r w:rsidRPr="00D134D4">
          <w:rPr>
            <w:rStyle w:val="Hyperlink"/>
            <w:rFonts w:eastAsia="Times New Roman"/>
          </w:rPr>
          <w:t>rizwan.378074@2freemail.com</w:t>
        </w:r>
      </w:hyperlink>
      <w:r>
        <w:rPr>
          <w:rFonts w:eastAsia="Times New Roman"/>
          <w:color w:val="5B9BD5"/>
          <w:u w:val="single"/>
        </w:rPr>
        <w:t xml:space="preserve"> </w:t>
      </w:r>
    </w:p>
    <w:p w:rsidR="00EE48C8" w:rsidRDefault="00EE48C8">
      <w:pPr>
        <w:spacing w:line="209" w:lineRule="exact"/>
        <w:rPr>
          <w:sz w:val="24"/>
          <w:szCs w:val="24"/>
        </w:rPr>
      </w:pPr>
    </w:p>
    <w:p w:rsidR="00EE48C8" w:rsidRDefault="00B2397D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</w:rPr>
        <w:t>EDUCATION</w:t>
      </w:r>
    </w:p>
    <w:p w:rsidR="00EE48C8" w:rsidRDefault="00EE48C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0,3.55pt" to="539.85pt,3.55pt" o:allowincell="f" strokecolor="#00000a" strokeweight=".17608mm"/>
        </w:pict>
      </w:r>
    </w:p>
    <w:p w:rsidR="00EE48C8" w:rsidRDefault="00EE48C8">
      <w:pPr>
        <w:spacing w:line="5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7320"/>
        <w:gridCol w:w="1460"/>
        <w:gridCol w:w="1420"/>
      </w:tblGrid>
      <w:tr w:rsidR="00EE48C8">
        <w:trPr>
          <w:trHeight w:val="253"/>
        </w:trPr>
        <w:tc>
          <w:tcPr>
            <w:tcW w:w="7920" w:type="dxa"/>
            <w:gridSpan w:val="2"/>
            <w:vAlign w:val="bottom"/>
          </w:tcPr>
          <w:p w:rsidR="00EE48C8" w:rsidRDefault="00B2397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 xml:space="preserve">Class I – Deck Master Mariner, </w:t>
            </w:r>
            <w:r>
              <w:rPr>
                <w:rFonts w:eastAsia="Times New Roman"/>
                <w:i/>
                <w:iCs/>
                <w:color w:val="00000A"/>
              </w:rPr>
              <w:t>South Tyneside College, UK,</w:t>
            </w:r>
          </w:p>
        </w:tc>
        <w:tc>
          <w:tcPr>
            <w:tcW w:w="1460" w:type="dxa"/>
            <w:vAlign w:val="bottom"/>
          </w:tcPr>
          <w:p w:rsidR="00EE48C8" w:rsidRDefault="00EE48C8"/>
        </w:tc>
        <w:tc>
          <w:tcPr>
            <w:tcW w:w="1420" w:type="dxa"/>
            <w:vAlign w:val="bottom"/>
          </w:tcPr>
          <w:p w:rsidR="00EE48C8" w:rsidRDefault="00B2397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</w:rPr>
              <w:t>1993</w:t>
            </w:r>
          </w:p>
        </w:tc>
      </w:tr>
      <w:tr w:rsidR="00EE48C8">
        <w:trPr>
          <w:trHeight w:val="270"/>
        </w:trPr>
        <w:tc>
          <w:tcPr>
            <w:tcW w:w="600" w:type="dxa"/>
            <w:vAlign w:val="bottom"/>
          </w:tcPr>
          <w:p w:rsidR="00EE48C8" w:rsidRDefault="00EE48C8">
            <w:pPr>
              <w:spacing w:line="224" w:lineRule="exact"/>
              <w:ind w:left="360"/>
              <w:rPr>
                <w:sz w:val="20"/>
                <w:szCs w:val="20"/>
              </w:rPr>
            </w:pPr>
          </w:p>
        </w:tc>
        <w:tc>
          <w:tcPr>
            <w:tcW w:w="7320" w:type="dxa"/>
            <w:vAlign w:val="bottom"/>
          </w:tcPr>
          <w:p w:rsidR="00EE48C8" w:rsidRDefault="00EE48C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EE48C8" w:rsidRDefault="00EE48C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EE48C8" w:rsidRDefault="00EE48C8">
            <w:pPr>
              <w:rPr>
                <w:sz w:val="23"/>
                <w:szCs w:val="23"/>
              </w:rPr>
            </w:pPr>
          </w:p>
        </w:tc>
      </w:tr>
      <w:tr w:rsidR="00EE48C8">
        <w:trPr>
          <w:trHeight w:val="270"/>
        </w:trPr>
        <w:tc>
          <w:tcPr>
            <w:tcW w:w="7920" w:type="dxa"/>
            <w:gridSpan w:val="2"/>
            <w:vAlign w:val="bottom"/>
          </w:tcPr>
          <w:p w:rsidR="00EE48C8" w:rsidRDefault="00B2397D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</w:rPr>
              <w:t></w:t>
            </w:r>
            <w:r>
              <w:rPr>
                <w:rFonts w:eastAsia="Times New Roman"/>
                <w:color w:val="00000A"/>
              </w:rPr>
              <w:t xml:space="preserve">  Issuance: 27 June, 2012</w:t>
            </w:r>
          </w:p>
        </w:tc>
        <w:tc>
          <w:tcPr>
            <w:tcW w:w="1460" w:type="dxa"/>
            <w:vAlign w:val="bottom"/>
          </w:tcPr>
          <w:p w:rsidR="00EE48C8" w:rsidRDefault="00EE48C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EE48C8" w:rsidRDefault="00EE48C8">
            <w:pPr>
              <w:rPr>
                <w:sz w:val="23"/>
                <w:szCs w:val="23"/>
              </w:rPr>
            </w:pPr>
          </w:p>
        </w:tc>
      </w:tr>
      <w:tr w:rsidR="00EE48C8">
        <w:trPr>
          <w:trHeight w:val="270"/>
        </w:trPr>
        <w:tc>
          <w:tcPr>
            <w:tcW w:w="600" w:type="dxa"/>
            <w:vAlign w:val="bottom"/>
          </w:tcPr>
          <w:p w:rsidR="00EE48C8" w:rsidRDefault="00B2397D">
            <w:pPr>
              <w:spacing w:line="224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</w:rPr>
              <w:t></w:t>
            </w:r>
          </w:p>
        </w:tc>
        <w:tc>
          <w:tcPr>
            <w:tcW w:w="7320" w:type="dxa"/>
            <w:vAlign w:val="bottom"/>
          </w:tcPr>
          <w:p w:rsidR="00EE48C8" w:rsidRDefault="00B239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Expiration: 9 February, 2021</w:t>
            </w:r>
          </w:p>
        </w:tc>
        <w:tc>
          <w:tcPr>
            <w:tcW w:w="1460" w:type="dxa"/>
            <w:vAlign w:val="bottom"/>
          </w:tcPr>
          <w:p w:rsidR="00EE48C8" w:rsidRDefault="00EE48C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EE48C8" w:rsidRDefault="00EE48C8">
            <w:pPr>
              <w:rPr>
                <w:sz w:val="23"/>
                <w:szCs w:val="23"/>
              </w:rPr>
            </w:pPr>
          </w:p>
        </w:tc>
      </w:tr>
      <w:tr w:rsidR="00EE48C8">
        <w:trPr>
          <w:trHeight w:val="506"/>
        </w:trPr>
        <w:tc>
          <w:tcPr>
            <w:tcW w:w="7920" w:type="dxa"/>
            <w:gridSpan w:val="2"/>
            <w:vAlign w:val="bottom"/>
          </w:tcPr>
          <w:p w:rsidR="00EE48C8" w:rsidRDefault="00B2397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 xml:space="preserve">Class II – Deck, </w:t>
            </w:r>
            <w:r>
              <w:rPr>
                <w:rFonts w:eastAsia="Times New Roman"/>
                <w:i/>
                <w:iCs/>
                <w:color w:val="00000A"/>
              </w:rPr>
              <w:t>South Glamorgan Institute of Higher Studies, UK</w:t>
            </w:r>
          </w:p>
        </w:tc>
        <w:tc>
          <w:tcPr>
            <w:tcW w:w="1460" w:type="dxa"/>
            <w:vAlign w:val="bottom"/>
          </w:tcPr>
          <w:p w:rsidR="00EE48C8" w:rsidRDefault="00EE48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E48C8" w:rsidRDefault="00B2397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</w:rPr>
              <w:t>1990</w:t>
            </w:r>
          </w:p>
        </w:tc>
      </w:tr>
      <w:tr w:rsidR="00EE48C8">
        <w:trPr>
          <w:trHeight w:val="254"/>
        </w:trPr>
        <w:tc>
          <w:tcPr>
            <w:tcW w:w="9380" w:type="dxa"/>
            <w:gridSpan w:val="3"/>
            <w:vAlign w:val="bottom"/>
          </w:tcPr>
          <w:p w:rsidR="00EE48C8" w:rsidRDefault="00B2397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Higher National Diploma in Nautical Science</w:t>
            </w:r>
            <w:r>
              <w:rPr>
                <w:rFonts w:eastAsia="Times New Roman"/>
                <w:i/>
                <w:iCs/>
                <w:color w:val="00000A"/>
              </w:rPr>
              <w:t>, South Glamorgan Institute of Higher Studies, UK</w:t>
            </w:r>
          </w:p>
        </w:tc>
        <w:tc>
          <w:tcPr>
            <w:tcW w:w="1420" w:type="dxa"/>
            <w:vAlign w:val="bottom"/>
          </w:tcPr>
          <w:p w:rsidR="00EE48C8" w:rsidRDefault="00B2397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</w:rPr>
              <w:t>1990</w:t>
            </w:r>
          </w:p>
        </w:tc>
      </w:tr>
      <w:tr w:rsidR="00EE48C8">
        <w:trPr>
          <w:trHeight w:val="252"/>
        </w:trPr>
        <w:tc>
          <w:tcPr>
            <w:tcW w:w="7920" w:type="dxa"/>
            <w:gridSpan w:val="2"/>
            <w:vAlign w:val="bottom"/>
          </w:tcPr>
          <w:p w:rsidR="00EE48C8" w:rsidRDefault="00B2397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 xml:space="preserve">Class III – Deck, </w:t>
            </w:r>
            <w:r>
              <w:rPr>
                <w:rFonts w:eastAsia="Times New Roman"/>
                <w:i/>
                <w:iCs/>
                <w:color w:val="00000A"/>
              </w:rPr>
              <w:t xml:space="preserve">Riversdale College of </w:t>
            </w:r>
            <w:r>
              <w:rPr>
                <w:rFonts w:eastAsia="Times New Roman"/>
                <w:i/>
                <w:iCs/>
                <w:color w:val="00000A"/>
              </w:rPr>
              <w:t>Technology, UK</w:t>
            </w:r>
          </w:p>
        </w:tc>
        <w:tc>
          <w:tcPr>
            <w:tcW w:w="1460" w:type="dxa"/>
            <w:vAlign w:val="bottom"/>
          </w:tcPr>
          <w:p w:rsidR="00EE48C8" w:rsidRDefault="00EE48C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EE48C8" w:rsidRDefault="00B2397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</w:rPr>
              <w:t>1985</w:t>
            </w:r>
          </w:p>
        </w:tc>
      </w:tr>
      <w:tr w:rsidR="00EE48C8">
        <w:trPr>
          <w:trHeight w:val="454"/>
        </w:trPr>
        <w:tc>
          <w:tcPr>
            <w:tcW w:w="7920" w:type="dxa"/>
            <w:gridSpan w:val="2"/>
            <w:vAlign w:val="bottom"/>
          </w:tcPr>
          <w:p w:rsidR="00EE48C8" w:rsidRDefault="00B2397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</w:rPr>
              <w:t>WORK EXPERIENCE</w:t>
            </w:r>
          </w:p>
        </w:tc>
        <w:tc>
          <w:tcPr>
            <w:tcW w:w="1460" w:type="dxa"/>
            <w:vAlign w:val="bottom"/>
          </w:tcPr>
          <w:p w:rsidR="00EE48C8" w:rsidRDefault="00EE48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E48C8" w:rsidRDefault="00EE48C8">
            <w:pPr>
              <w:rPr>
                <w:sz w:val="24"/>
                <w:szCs w:val="24"/>
              </w:rPr>
            </w:pPr>
          </w:p>
        </w:tc>
      </w:tr>
      <w:tr w:rsidR="00EE48C8">
        <w:trPr>
          <w:trHeight w:val="66"/>
        </w:trPr>
        <w:tc>
          <w:tcPr>
            <w:tcW w:w="7920" w:type="dxa"/>
            <w:gridSpan w:val="2"/>
            <w:tcBorders>
              <w:bottom w:val="single" w:sz="8" w:space="0" w:color="00000A"/>
            </w:tcBorders>
            <w:vAlign w:val="bottom"/>
          </w:tcPr>
          <w:p w:rsidR="00EE48C8" w:rsidRDefault="00EE48C8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00000A"/>
            </w:tcBorders>
            <w:vAlign w:val="bottom"/>
          </w:tcPr>
          <w:p w:rsidR="00EE48C8" w:rsidRDefault="00EE48C8">
            <w:pPr>
              <w:rPr>
                <w:sz w:val="5"/>
                <w:szCs w:val="5"/>
              </w:rPr>
            </w:pPr>
          </w:p>
        </w:tc>
      </w:tr>
      <w:tr w:rsidR="00EE48C8">
        <w:trPr>
          <w:trHeight w:val="240"/>
        </w:trPr>
        <w:tc>
          <w:tcPr>
            <w:tcW w:w="7920" w:type="dxa"/>
            <w:gridSpan w:val="2"/>
            <w:vAlign w:val="bottom"/>
          </w:tcPr>
          <w:p w:rsidR="00EE48C8" w:rsidRDefault="00B2397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 xml:space="preserve">Deputy Conservator/Director General – Operations, </w:t>
            </w:r>
            <w:r>
              <w:rPr>
                <w:rFonts w:eastAsia="Times New Roman"/>
                <w:i/>
                <w:iCs/>
                <w:color w:val="00000A"/>
              </w:rPr>
              <w:t>Port Qasim Authority, Pakistan</w:t>
            </w:r>
          </w:p>
        </w:tc>
        <w:tc>
          <w:tcPr>
            <w:tcW w:w="2880" w:type="dxa"/>
            <w:gridSpan w:val="2"/>
            <w:vAlign w:val="bottom"/>
          </w:tcPr>
          <w:p w:rsidR="00EE48C8" w:rsidRDefault="00B2397D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</w:rPr>
              <w:t>November 2017 – Present</w:t>
            </w:r>
          </w:p>
        </w:tc>
      </w:tr>
    </w:tbl>
    <w:p w:rsidR="00EE48C8" w:rsidRDefault="00B2397D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>Reports to the chairman</w:t>
      </w:r>
    </w:p>
    <w:p w:rsidR="00EE48C8" w:rsidRDefault="00B2397D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>Responsible for developing the budget</w:t>
      </w:r>
    </w:p>
    <w:p w:rsidR="00EE48C8" w:rsidRDefault="00B2397D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 xml:space="preserve">Responsible for ensuring optimum operating </w:t>
      </w:r>
      <w:r>
        <w:rPr>
          <w:rFonts w:eastAsia="Times New Roman"/>
          <w:color w:val="00000A"/>
        </w:rPr>
        <w:t>capacity of the port</w:t>
      </w:r>
    </w:p>
    <w:p w:rsidR="00EE48C8" w:rsidRDefault="00B2397D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>Develop contracts and agreements to be signed with CHCs and shipping agents</w:t>
      </w:r>
    </w:p>
    <w:p w:rsidR="00EE48C8" w:rsidRDefault="00B2397D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>Evaluate and monitor subcontractors</w:t>
      </w:r>
    </w:p>
    <w:p w:rsidR="00EE48C8" w:rsidRDefault="00B2397D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>Resolution of customer complaints with corrective and preventive measures</w:t>
      </w:r>
    </w:p>
    <w:p w:rsidR="00EE48C8" w:rsidRDefault="00EE48C8">
      <w:pPr>
        <w:spacing w:line="71" w:lineRule="exact"/>
        <w:rPr>
          <w:rFonts w:ascii="Symbol" w:eastAsia="Symbol" w:hAnsi="Symbol" w:cs="Symbol"/>
          <w:color w:val="00000A"/>
        </w:rPr>
      </w:pPr>
    </w:p>
    <w:p w:rsidR="00EE48C8" w:rsidRDefault="00B2397D">
      <w:pPr>
        <w:numPr>
          <w:ilvl w:val="0"/>
          <w:numId w:val="1"/>
        </w:numPr>
        <w:tabs>
          <w:tab w:val="left" w:pos="720"/>
        </w:tabs>
        <w:spacing w:line="207" w:lineRule="auto"/>
        <w:ind w:left="720" w:right="20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>Responsible for planning and executing service o</w:t>
      </w:r>
      <w:r>
        <w:rPr>
          <w:rFonts w:eastAsia="Times New Roman"/>
          <w:color w:val="00000A"/>
        </w:rPr>
        <w:t>peration such as movement of ocean going ships in the channel and at berths</w:t>
      </w:r>
    </w:p>
    <w:p w:rsidR="00EE48C8" w:rsidRDefault="00EE48C8">
      <w:pPr>
        <w:spacing w:line="2" w:lineRule="exact"/>
        <w:rPr>
          <w:rFonts w:ascii="Symbol" w:eastAsia="Symbol" w:hAnsi="Symbol" w:cs="Symbol"/>
          <w:color w:val="00000A"/>
        </w:rPr>
      </w:pPr>
    </w:p>
    <w:p w:rsidR="00EE48C8" w:rsidRDefault="00B2397D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>Review the effectiveness of the port</w:t>
      </w:r>
    </w:p>
    <w:p w:rsidR="00EE48C8" w:rsidRDefault="00EE48C8">
      <w:pPr>
        <w:spacing w:line="1" w:lineRule="exact"/>
        <w:rPr>
          <w:rFonts w:ascii="Symbol" w:eastAsia="Symbol" w:hAnsi="Symbol" w:cs="Symbol"/>
          <w:color w:val="00000A"/>
        </w:rPr>
      </w:pPr>
    </w:p>
    <w:p w:rsidR="00EE48C8" w:rsidRDefault="00B2397D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>Arrange for training of the trainee pilots and their examinations</w:t>
      </w:r>
    </w:p>
    <w:p w:rsidR="00EE48C8" w:rsidRDefault="00B2397D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>Attend berthing meetings</w:t>
      </w:r>
    </w:p>
    <w:p w:rsidR="00EE48C8" w:rsidRDefault="00EE48C8">
      <w:pPr>
        <w:spacing w:line="71" w:lineRule="exact"/>
        <w:rPr>
          <w:rFonts w:ascii="Symbol" w:eastAsia="Symbol" w:hAnsi="Symbol" w:cs="Symbol"/>
          <w:color w:val="00000A"/>
        </w:rPr>
      </w:pPr>
    </w:p>
    <w:p w:rsidR="00EE48C8" w:rsidRDefault="00B2397D">
      <w:pPr>
        <w:numPr>
          <w:ilvl w:val="0"/>
          <w:numId w:val="1"/>
        </w:numPr>
        <w:tabs>
          <w:tab w:val="left" w:pos="720"/>
        </w:tabs>
        <w:spacing w:line="207" w:lineRule="auto"/>
        <w:ind w:left="720" w:right="22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 xml:space="preserve">Handled all large deep laden vessels including </w:t>
      </w:r>
      <w:r>
        <w:rPr>
          <w:rFonts w:eastAsia="Times New Roman"/>
          <w:color w:val="00000A"/>
        </w:rPr>
        <w:t>containers with 10,000+ TEU and LNG carriers (Q Flex) coming first time to Pakistan</w:t>
      </w:r>
    </w:p>
    <w:p w:rsidR="00EE48C8" w:rsidRDefault="00EE48C8">
      <w:pPr>
        <w:spacing w:line="73" w:lineRule="exact"/>
        <w:rPr>
          <w:rFonts w:ascii="Symbol" w:eastAsia="Symbol" w:hAnsi="Symbol" w:cs="Symbol"/>
          <w:color w:val="00000A"/>
        </w:rPr>
      </w:pPr>
    </w:p>
    <w:p w:rsidR="00EE48C8" w:rsidRDefault="00B2397D">
      <w:pPr>
        <w:numPr>
          <w:ilvl w:val="0"/>
          <w:numId w:val="1"/>
        </w:numPr>
        <w:tabs>
          <w:tab w:val="left" w:pos="720"/>
        </w:tabs>
        <w:spacing w:line="207" w:lineRule="auto"/>
        <w:ind w:left="720" w:right="36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>Conducted Full Mission Bridge Simulation studies for deep laden container vessels including LNG carriers (Q Flex)</w:t>
      </w:r>
    </w:p>
    <w:p w:rsidR="00EE48C8" w:rsidRDefault="00EE48C8">
      <w:pPr>
        <w:spacing w:line="255" w:lineRule="exact"/>
        <w:rPr>
          <w:sz w:val="24"/>
          <w:szCs w:val="24"/>
        </w:rPr>
      </w:pPr>
    </w:p>
    <w:p w:rsidR="00EE48C8" w:rsidRDefault="00B2397D">
      <w:pPr>
        <w:tabs>
          <w:tab w:val="left" w:pos="7740"/>
        </w:tabs>
        <w:rPr>
          <w:sz w:val="20"/>
          <w:szCs w:val="20"/>
        </w:rPr>
      </w:pPr>
      <w:r>
        <w:rPr>
          <w:rFonts w:eastAsia="Times New Roman"/>
          <w:color w:val="00000A"/>
        </w:rPr>
        <w:t xml:space="preserve">Harbour Master, </w:t>
      </w:r>
      <w:r>
        <w:rPr>
          <w:rFonts w:eastAsia="Times New Roman"/>
          <w:i/>
          <w:iCs/>
          <w:color w:val="00000A"/>
        </w:rPr>
        <w:t>Port Qasim Authority, Pakistan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00000A"/>
          <w:sz w:val="21"/>
          <w:szCs w:val="21"/>
        </w:rPr>
        <w:t xml:space="preserve">December </w:t>
      </w:r>
      <w:r>
        <w:rPr>
          <w:rFonts w:eastAsia="Times New Roman"/>
          <w:i/>
          <w:iCs/>
          <w:color w:val="00000A"/>
          <w:sz w:val="21"/>
          <w:szCs w:val="21"/>
        </w:rPr>
        <w:t>2012 – November 2017</w:t>
      </w:r>
    </w:p>
    <w:p w:rsidR="00EE48C8" w:rsidRDefault="00B2397D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>Enforced the regulations of the port</w:t>
      </w:r>
    </w:p>
    <w:p w:rsidR="00EE48C8" w:rsidRDefault="00EE48C8">
      <w:pPr>
        <w:spacing w:line="1" w:lineRule="exact"/>
        <w:rPr>
          <w:rFonts w:ascii="Symbol" w:eastAsia="Symbol" w:hAnsi="Symbol" w:cs="Symbol"/>
          <w:color w:val="00000A"/>
        </w:rPr>
      </w:pPr>
    </w:p>
    <w:p w:rsidR="00EE48C8" w:rsidRDefault="00B2397D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>Issued local safety information</w:t>
      </w:r>
    </w:p>
    <w:p w:rsidR="00EE48C8" w:rsidRDefault="00B2397D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>Ensured the safety of navigation, the security of the port and the correct operation of port facilities</w:t>
      </w:r>
    </w:p>
    <w:p w:rsidR="00EE48C8" w:rsidRDefault="00B2397D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>Oversee the maintenance and provision of navigational aids wi</w:t>
      </w:r>
      <w:r>
        <w:rPr>
          <w:rFonts w:eastAsia="Times New Roman"/>
          <w:color w:val="00000A"/>
        </w:rPr>
        <w:t>thin the port</w:t>
      </w:r>
    </w:p>
    <w:p w:rsidR="00EE48C8" w:rsidRDefault="00B2397D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>Co-ordinate responses to emergencies</w:t>
      </w:r>
    </w:p>
    <w:p w:rsidR="00EE48C8" w:rsidRDefault="00B2397D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>Inspect vessels and oversee pilotage services</w:t>
      </w:r>
    </w:p>
    <w:p w:rsidR="00EE48C8" w:rsidRDefault="00B2397D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>Review the arrival and departure reports</w:t>
      </w:r>
    </w:p>
    <w:p w:rsidR="00EE48C8" w:rsidRDefault="00EE48C8">
      <w:pPr>
        <w:spacing w:line="255" w:lineRule="exact"/>
        <w:rPr>
          <w:sz w:val="24"/>
          <w:szCs w:val="24"/>
        </w:rPr>
      </w:pPr>
    </w:p>
    <w:p w:rsidR="00EE48C8" w:rsidRDefault="00B2397D">
      <w:pPr>
        <w:tabs>
          <w:tab w:val="left" w:pos="7700"/>
        </w:tabs>
        <w:rPr>
          <w:sz w:val="20"/>
          <w:szCs w:val="20"/>
        </w:rPr>
      </w:pPr>
      <w:r>
        <w:rPr>
          <w:rFonts w:eastAsia="Times New Roman"/>
          <w:color w:val="00000A"/>
        </w:rPr>
        <w:t xml:space="preserve">Dock Master, </w:t>
      </w:r>
      <w:r>
        <w:rPr>
          <w:rFonts w:eastAsia="Times New Roman"/>
          <w:i/>
          <w:iCs/>
          <w:color w:val="00000A"/>
        </w:rPr>
        <w:t>Port Qasim Authority, Pakistan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00000A"/>
          <w:sz w:val="21"/>
          <w:szCs w:val="21"/>
        </w:rPr>
        <w:t>September 2008 – December 2012</w:t>
      </w:r>
    </w:p>
    <w:p w:rsidR="00EE48C8" w:rsidRDefault="00B2397D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>Performed administrative and supervisory r</w:t>
      </w:r>
      <w:r>
        <w:rPr>
          <w:rFonts w:eastAsia="Times New Roman"/>
          <w:color w:val="00000A"/>
        </w:rPr>
        <w:t>oles</w:t>
      </w:r>
    </w:p>
    <w:p w:rsidR="00EE48C8" w:rsidRDefault="00EE48C8">
      <w:pPr>
        <w:spacing w:line="1" w:lineRule="exact"/>
        <w:rPr>
          <w:rFonts w:ascii="Symbol" w:eastAsia="Symbol" w:hAnsi="Symbol" w:cs="Symbol"/>
          <w:color w:val="00000A"/>
        </w:rPr>
      </w:pPr>
    </w:p>
    <w:p w:rsidR="00EE48C8" w:rsidRDefault="00B2397D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>Planned and coordinated daily shipping operations</w:t>
      </w:r>
    </w:p>
    <w:p w:rsidR="00EE48C8" w:rsidRDefault="00B2397D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>Provided appropriate assistance to agents, officials and staff</w:t>
      </w:r>
    </w:p>
    <w:p w:rsidR="00EE48C8" w:rsidRDefault="00B2397D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>Completed opening and closing reports</w:t>
      </w:r>
    </w:p>
    <w:p w:rsidR="00EE48C8" w:rsidRDefault="00EE48C8">
      <w:pPr>
        <w:spacing w:line="245" w:lineRule="exact"/>
        <w:rPr>
          <w:sz w:val="24"/>
          <w:szCs w:val="24"/>
        </w:rPr>
      </w:pPr>
    </w:p>
    <w:p w:rsidR="00EE48C8" w:rsidRDefault="00B2397D">
      <w:pPr>
        <w:tabs>
          <w:tab w:val="left" w:pos="7740"/>
        </w:tabs>
        <w:rPr>
          <w:sz w:val="20"/>
          <w:szCs w:val="20"/>
        </w:rPr>
      </w:pPr>
      <w:r>
        <w:rPr>
          <w:rFonts w:eastAsia="Times New Roman"/>
          <w:color w:val="00000A"/>
        </w:rPr>
        <w:t xml:space="preserve">Marine Pilot/Tug Commandar, </w:t>
      </w:r>
      <w:r>
        <w:rPr>
          <w:rFonts w:eastAsia="Times New Roman"/>
          <w:i/>
          <w:iCs/>
          <w:color w:val="00000A"/>
        </w:rPr>
        <w:t>Port Qasim Authority, Pakistan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00000A"/>
          <w:sz w:val="21"/>
          <w:szCs w:val="21"/>
        </w:rPr>
        <w:t>February 1998 – September 2008</w:t>
      </w:r>
    </w:p>
    <w:p w:rsidR="00EE48C8" w:rsidRDefault="00B2397D">
      <w:pPr>
        <w:numPr>
          <w:ilvl w:val="0"/>
          <w:numId w:val="4"/>
        </w:numPr>
        <w:tabs>
          <w:tab w:val="left" w:pos="720"/>
        </w:tabs>
        <w:ind w:left="72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 xml:space="preserve">Handled </w:t>
      </w:r>
      <w:r>
        <w:rPr>
          <w:rFonts w:eastAsia="Times New Roman"/>
          <w:color w:val="00000A"/>
        </w:rPr>
        <w:t>all vessels</w:t>
      </w:r>
    </w:p>
    <w:p w:rsidR="00EE48C8" w:rsidRDefault="00B2397D">
      <w:pPr>
        <w:numPr>
          <w:ilvl w:val="0"/>
          <w:numId w:val="4"/>
        </w:numPr>
        <w:tabs>
          <w:tab w:val="left" w:pos="720"/>
        </w:tabs>
        <w:ind w:left="72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>Responsible for docking and undocking of ships</w:t>
      </w:r>
    </w:p>
    <w:p w:rsidR="00EE48C8" w:rsidRDefault="00B2397D">
      <w:pPr>
        <w:numPr>
          <w:ilvl w:val="0"/>
          <w:numId w:val="4"/>
        </w:numPr>
        <w:tabs>
          <w:tab w:val="left" w:pos="720"/>
        </w:tabs>
        <w:ind w:left="720" w:hanging="358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</w:rPr>
        <w:t>Commanded ships to steer them into and out of harbour</w:t>
      </w:r>
    </w:p>
    <w:p w:rsidR="00EE48C8" w:rsidRDefault="00EE48C8">
      <w:pPr>
        <w:sectPr w:rsidR="00EE48C8">
          <w:pgSz w:w="12240" w:h="15840"/>
          <w:pgMar w:top="592" w:right="720" w:bottom="109" w:left="720" w:header="0" w:footer="0" w:gutter="0"/>
          <w:cols w:space="720" w:equalWidth="0">
            <w:col w:w="10800"/>
          </w:cols>
        </w:sectPr>
      </w:pPr>
    </w:p>
    <w:p w:rsidR="00EE48C8" w:rsidRDefault="00EE48C8">
      <w:pPr>
        <w:spacing w:line="200" w:lineRule="exact"/>
        <w:rPr>
          <w:sz w:val="24"/>
          <w:szCs w:val="24"/>
        </w:rPr>
      </w:pPr>
    </w:p>
    <w:p w:rsidR="00EE48C8" w:rsidRDefault="00EE48C8">
      <w:pPr>
        <w:spacing w:line="319" w:lineRule="exact"/>
        <w:rPr>
          <w:sz w:val="24"/>
          <w:szCs w:val="24"/>
        </w:rPr>
      </w:pPr>
    </w:p>
    <w:p w:rsidR="00EE48C8" w:rsidRDefault="00B2397D">
      <w:pPr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1"/>
          <w:szCs w:val="21"/>
        </w:rPr>
        <w:t>References available upon request</w:t>
      </w:r>
    </w:p>
    <w:sectPr w:rsidR="00EE48C8" w:rsidSect="00EE48C8">
      <w:type w:val="continuous"/>
      <w:pgSz w:w="12240" w:h="15840"/>
      <w:pgMar w:top="592" w:right="720" w:bottom="109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BA6E63C"/>
    <w:lvl w:ilvl="0" w:tplc="3D0ECE3A">
      <w:start w:val="1"/>
      <w:numFmt w:val="bullet"/>
      <w:lvlText w:val=""/>
      <w:lvlJc w:val="left"/>
    </w:lvl>
    <w:lvl w:ilvl="1" w:tplc="2D58CEA4">
      <w:numFmt w:val="decimal"/>
      <w:lvlText w:val=""/>
      <w:lvlJc w:val="left"/>
    </w:lvl>
    <w:lvl w:ilvl="2" w:tplc="165879EA">
      <w:numFmt w:val="decimal"/>
      <w:lvlText w:val=""/>
      <w:lvlJc w:val="left"/>
    </w:lvl>
    <w:lvl w:ilvl="3" w:tplc="7D967A06">
      <w:numFmt w:val="decimal"/>
      <w:lvlText w:val=""/>
      <w:lvlJc w:val="left"/>
    </w:lvl>
    <w:lvl w:ilvl="4" w:tplc="94C61BEC">
      <w:numFmt w:val="decimal"/>
      <w:lvlText w:val=""/>
      <w:lvlJc w:val="left"/>
    </w:lvl>
    <w:lvl w:ilvl="5" w:tplc="7E3671E6">
      <w:numFmt w:val="decimal"/>
      <w:lvlText w:val=""/>
      <w:lvlJc w:val="left"/>
    </w:lvl>
    <w:lvl w:ilvl="6" w:tplc="F2C65082">
      <w:numFmt w:val="decimal"/>
      <w:lvlText w:val=""/>
      <w:lvlJc w:val="left"/>
    </w:lvl>
    <w:lvl w:ilvl="7" w:tplc="F5BE34F4">
      <w:numFmt w:val="decimal"/>
      <w:lvlText w:val=""/>
      <w:lvlJc w:val="left"/>
    </w:lvl>
    <w:lvl w:ilvl="8" w:tplc="CB203E5A">
      <w:numFmt w:val="decimal"/>
      <w:lvlText w:val=""/>
      <w:lvlJc w:val="left"/>
    </w:lvl>
  </w:abstractNum>
  <w:abstractNum w:abstractNumId="1">
    <w:nsid w:val="00003D6C"/>
    <w:multiLevelType w:val="hybridMultilevel"/>
    <w:tmpl w:val="DDCC9EAA"/>
    <w:lvl w:ilvl="0" w:tplc="8B3ACDDC">
      <w:start w:val="1"/>
      <w:numFmt w:val="bullet"/>
      <w:lvlText w:val=""/>
      <w:lvlJc w:val="left"/>
    </w:lvl>
    <w:lvl w:ilvl="1" w:tplc="12A21304">
      <w:numFmt w:val="decimal"/>
      <w:lvlText w:val=""/>
      <w:lvlJc w:val="left"/>
    </w:lvl>
    <w:lvl w:ilvl="2" w:tplc="01E4C616">
      <w:numFmt w:val="decimal"/>
      <w:lvlText w:val=""/>
      <w:lvlJc w:val="left"/>
    </w:lvl>
    <w:lvl w:ilvl="3" w:tplc="B5A28978">
      <w:numFmt w:val="decimal"/>
      <w:lvlText w:val=""/>
      <w:lvlJc w:val="left"/>
    </w:lvl>
    <w:lvl w:ilvl="4" w:tplc="39C83AAC">
      <w:numFmt w:val="decimal"/>
      <w:lvlText w:val=""/>
      <w:lvlJc w:val="left"/>
    </w:lvl>
    <w:lvl w:ilvl="5" w:tplc="4148EBD8">
      <w:numFmt w:val="decimal"/>
      <w:lvlText w:val=""/>
      <w:lvlJc w:val="left"/>
    </w:lvl>
    <w:lvl w:ilvl="6" w:tplc="78C6B9A8">
      <w:numFmt w:val="decimal"/>
      <w:lvlText w:val=""/>
      <w:lvlJc w:val="left"/>
    </w:lvl>
    <w:lvl w:ilvl="7" w:tplc="11E03716">
      <w:numFmt w:val="decimal"/>
      <w:lvlText w:val=""/>
      <w:lvlJc w:val="left"/>
    </w:lvl>
    <w:lvl w:ilvl="8" w:tplc="CDFA8288">
      <w:numFmt w:val="decimal"/>
      <w:lvlText w:val=""/>
      <w:lvlJc w:val="left"/>
    </w:lvl>
  </w:abstractNum>
  <w:abstractNum w:abstractNumId="2">
    <w:nsid w:val="00004AE1"/>
    <w:multiLevelType w:val="hybridMultilevel"/>
    <w:tmpl w:val="5B949D9E"/>
    <w:lvl w:ilvl="0" w:tplc="223481FE">
      <w:start w:val="1"/>
      <w:numFmt w:val="bullet"/>
      <w:lvlText w:val=""/>
      <w:lvlJc w:val="left"/>
    </w:lvl>
    <w:lvl w:ilvl="1" w:tplc="52D65516">
      <w:numFmt w:val="decimal"/>
      <w:lvlText w:val=""/>
      <w:lvlJc w:val="left"/>
    </w:lvl>
    <w:lvl w:ilvl="2" w:tplc="A0BE0F22">
      <w:numFmt w:val="decimal"/>
      <w:lvlText w:val=""/>
      <w:lvlJc w:val="left"/>
    </w:lvl>
    <w:lvl w:ilvl="3" w:tplc="D23E2344">
      <w:numFmt w:val="decimal"/>
      <w:lvlText w:val=""/>
      <w:lvlJc w:val="left"/>
    </w:lvl>
    <w:lvl w:ilvl="4" w:tplc="70A4E1BE">
      <w:numFmt w:val="decimal"/>
      <w:lvlText w:val=""/>
      <w:lvlJc w:val="left"/>
    </w:lvl>
    <w:lvl w:ilvl="5" w:tplc="B296BC08">
      <w:numFmt w:val="decimal"/>
      <w:lvlText w:val=""/>
      <w:lvlJc w:val="left"/>
    </w:lvl>
    <w:lvl w:ilvl="6" w:tplc="F1F86A14">
      <w:numFmt w:val="decimal"/>
      <w:lvlText w:val=""/>
      <w:lvlJc w:val="left"/>
    </w:lvl>
    <w:lvl w:ilvl="7" w:tplc="DCBA73CA">
      <w:numFmt w:val="decimal"/>
      <w:lvlText w:val=""/>
      <w:lvlJc w:val="left"/>
    </w:lvl>
    <w:lvl w:ilvl="8" w:tplc="6F72E0B4">
      <w:numFmt w:val="decimal"/>
      <w:lvlText w:val=""/>
      <w:lvlJc w:val="left"/>
    </w:lvl>
  </w:abstractNum>
  <w:abstractNum w:abstractNumId="3">
    <w:nsid w:val="000072AE"/>
    <w:multiLevelType w:val="hybridMultilevel"/>
    <w:tmpl w:val="61EE81E4"/>
    <w:lvl w:ilvl="0" w:tplc="76BEB1CA">
      <w:start w:val="1"/>
      <w:numFmt w:val="bullet"/>
      <w:lvlText w:val=""/>
      <w:lvlJc w:val="left"/>
    </w:lvl>
    <w:lvl w:ilvl="1" w:tplc="09B481E4">
      <w:numFmt w:val="decimal"/>
      <w:lvlText w:val=""/>
      <w:lvlJc w:val="left"/>
    </w:lvl>
    <w:lvl w:ilvl="2" w:tplc="87007B90">
      <w:numFmt w:val="decimal"/>
      <w:lvlText w:val=""/>
      <w:lvlJc w:val="left"/>
    </w:lvl>
    <w:lvl w:ilvl="3" w:tplc="CAFE30E8">
      <w:numFmt w:val="decimal"/>
      <w:lvlText w:val=""/>
      <w:lvlJc w:val="left"/>
    </w:lvl>
    <w:lvl w:ilvl="4" w:tplc="8CC841FC">
      <w:numFmt w:val="decimal"/>
      <w:lvlText w:val=""/>
      <w:lvlJc w:val="left"/>
    </w:lvl>
    <w:lvl w:ilvl="5" w:tplc="AEAA3D0E">
      <w:numFmt w:val="decimal"/>
      <w:lvlText w:val=""/>
      <w:lvlJc w:val="left"/>
    </w:lvl>
    <w:lvl w:ilvl="6" w:tplc="D39A6B9C">
      <w:numFmt w:val="decimal"/>
      <w:lvlText w:val=""/>
      <w:lvlJc w:val="left"/>
    </w:lvl>
    <w:lvl w:ilvl="7" w:tplc="C14C0CF8">
      <w:numFmt w:val="decimal"/>
      <w:lvlText w:val=""/>
      <w:lvlJc w:val="left"/>
    </w:lvl>
    <w:lvl w:ilvl="8" w:tplc="CD826E2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E48C8"/>
    <w:rsid w:val="00B2397D"/>
    <w:rsid w:val="00EE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zwan.37807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2018-03-03T08:01:00Z</dcterms:created>
  <dcterms:modified xsi:type="dcterms:W3CDTF">2018-03-03T07:02:00Z</dcterms:modified>
</cp:coreProperties>
</file>