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76" w:type="dxa"/>
        <w:tblLook w:val="04A0"/>
      </w:tblPr>
      <w:tblGrid>
        <w:gridCol w:w="574"/>
        <w:gridCol w:w="507"/>
        <w:gridCol w:w="964"/>
        <w:gridCol w:w="963"/>
        <w:gridCol w:w="963"/>
        <w:gridCol w:w="963"/>
        <w:gridCol w:w="1020"/>
        <w:gridCol w:w="960"/>
        <w:gridCol w:w="1166"/>
        <w:gridCol w:w="1701"/>
      </w:tblGrid>
      <w:tr w:rsidR="001C5E06" w:rsidRPr="005A0049" w:rsidTr="00104014">
        <w:trPr>
          <w:trHeight w:val="255"/>
        </w:trPr>
        <w:tc>
          <w:tcPr>
            <w:tcW w:w="8080" w:type="dxa"/>
            <w:gridSpan w:val="9"/>
            <w:shd w:val="clear" w:color="auto" w:fill="auto"/>
            <w:noWrap/>
            <w:vAlign w:val="bottom"/>
            <w:hideMark/>
          </w:tcPr>
          <w:p w:rsidR="001C5E06" w:rsidRPr="00F521F0" w:rsidRDefault="001C5E06" w:rsidP="001C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F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0"/>
                <w:lang w:eastAsia="en-GB"/>
              </w:rPr>
              <w:t xml:space="preserve">Hafiz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809086" cy="1009291"/>
                  <wp:effectExtent l="19050" t="0" r="0" b="0"/>
                  <wp:docPr id="2" name="Picture 1" descr="C:\Users\asifraza\Desktop\CVs\Personal Image\Personal Imag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fraza\Desktop\CVs\Personal Image\Personal Imag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64" cy="101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E06" w:rsidRPr="005A0049" w:rsidTr="00104014">
        <w:trPr>
          <w:trHeight w:val="255"/>
        </w:trPr>
        <w:tc>
          <w:tcPr>
            <w:tcW w:w="8080" w:type="dxa"/>
            <w:gridSpan w:val="9"/>
            <w:shd w:val="clear" w:color="auto" w:fill="auto"/>
            <w:noWrap/>
            <w:vAlign w:val="bottom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QA/QC MANAGER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/ENGINEER</w:t>
            </w:r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CMQ/OE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5E06" w:rsidRPr="005A0049" w:rsidTr="00104014">
        <w:trPr>
          <w:trHeight w:val="255"/>
        </w:trPr>
        <w:tc>
          <w:tcPr>
            <w:tcW w:w="8080" w:type="dxa"/>
            <w:gridSpan w:val="9"/>
            <w:shd w:val="clear" w:color="auto" w:fill="auto"/>
            <w:noWrap/>
            <w:vAlign w:val="bottom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ISO 9001-2015 QMS Lead Auditor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5E06" w:rsidRPr="005A0049" w:rsidTr="00104014">
        <w:trPr>
          <w:trHeight w:val="255"/>
        </w:trPr>
        <w:tc>
          <w:tcPr>
            <w:tcW w:w="8080" w:type="dxa"/>
            <w:gridSpan w:val="9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5E06" w:rsidRPr="005A0049" w:rsidTr="00104014">
        <w:trPr>
          <w:trHeight w:val="570"/>
        </w:trPr>
        <w:tc>
          <w:tcPr>
            <w:tcW w:w="8080" w:type="dxa"/>
            <w:gridSpan w:val="9"/>
            <w:shd w:val="clear" w:color="auto" w:fill="auto"/>
            <w:noWrap/>
            <w:vAlign w:val="bottom"/>
            <w:hideMark/>
          </w:tcPr>
          <w:p w:rsidR="001C5E06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C/o-</w:t>
            </w:r>
            <w:r w:rsidRPr="002B698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Contact: </w:t>
            </w:r>
            <w:r w:rsidRPr="002B69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2B698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+971 5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01685421</w:t>
            </w:r>
          </w:p>
          <w:p w:rsidR="001C5E06" w:rsidRDefault="001C5E06" w:rsidP="001C5E06">
            <w:pPr>
              <w:spacing w:after="0" w:line="240" w:lineRule="auto"/>
            </w:pPr>
            <w:r w:rsidRPr="00627E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Email</w:t>
            </w: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hyperlink r:id="rId6" w:history="1">
              <w:r w:rsidRPr="00714E56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hafiz.</w:t>
              </w:r>
              <w:r w:rsidRPr="00714E56">
                <w:rPr>
                  <w:rStyle w:val="Hyperlink"/>
                </w:rPr>
                <w:t>378625@2freemail.com</w:t>
              </w:r>
            </w:hyperlink>
            <w:r>
              <w:t xml:space="preserve"> </w:t>
            </w:r>
          </w:p>
          <w:p w:rsidR="001C5E06" w:rsidRPr="005A0049" w:rsidRDefault="001C5E06" w:rsidP="001C5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5E06" w:rsidRPr="005A0049" w:rsidTr="00104014">
        <w:trPr>
          <w:trHeight w:val="1035"/>
        </w:trPr>
        <w:tc>
          <w:tcPr>
            <w:tcW w:w="9781" w:type="dxa"/>
            <w:gridSpan w:val="10"/>
            <w:shd w:val="clear" w:color="auto" w:fill="auto"/>
            <w:noWrap/>
            <w:vAlign w:val="center"/>
            <w:hideMark/>
          </w:tcPr>
          <w:p w:rsidR="001C5E06" w:rsidRPr="001263AC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1263A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Objective:</w:t>
            </w:r>
          </w:p>
          <w:p w:rsidR="001C5E06" w:rsidRPr="00F521F0" w:rsidRDefault="001C5E06" w:rsidP="00104014">
            <w:pPr>
              <w:spacing w:after="0" w:line="240" w:lineRule="auto"/>
              <w:ind w:right="175"/>
              <w:jc w:val="both"/>
              <w:rPr>
                <w:rFonts w:ascii="Calibri" w:eastAsia="Times New Roman" w:hAnsi="Calibri" w:cs="Times New Roman"/>
                <w:sz w:val="19"/>
                <w:szCs w:val="19"/>
                <w:lang w:eastAsia="en-GB"/>
              </w:rPr>
            </w:pPr>
            <w:r w:rsidRPr="00F521F0">
              <w:rPr>
                <w:rFonts w:ascii="Calibri" w:hAnsi="Calibri"/>
                <w:sz w:val="19"/>
                <w:szCs w:val="19"/>
                <w:shd w:val="clear" w:color="auto" w:fill="FFFFFF"/>
              </w:rPr>
              <w:t>Ambitious to play a leading role in maintaining Quality Management System in Civil Construction service sector, i.e. Building Construction, R.C.C. Structures and development of Housing Schemes by making a major contribution towards the development vision and strategies ensuring the continuous business growth in line with the company policy.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000000" w:fill="B8CCE4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36C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Brief Profile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&amp; Skills</w:t>
            </w:r>
          </w:p>
        </w:tc>
      </w:tr>
      <w:tr w:rsidR="001C5E06" w:rsidRPr="005A0049" w:rsidTr="00104014">
        <w:trPr>
          <w:trHeight w:val="75"/>
        </w:trPr>
        <w:tc>
          <w:tcPr>
            <w:tcW w:w="1081" w:type="dxa"/>
            <w:gridSpan w:val="2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noWrap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521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Quality Assurance/Quality Control &amp; Construction Supervision:</w:t>
            </w:r>
          </w:p>
          <w:p w:rsidR="001C5E06" w:rsidRPr="00F521F0" w:rsidRDefault="001C5E06" w:rsidP="0010401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21F0">
              <w:rPr>
                <w:rFonts w:eastAsia="Times New Roman" w:cs="Times New Roman"/>
                <w:color w:val="000000"/>
                <w:lang w:eastAsia="en-GB"/>
              </w:rPr>
              <w:t xml:space="preserve">     </w:t>
            </w:r>
            <w:r>
              <w:rPr>
                <w:rFonts w:eastAsia="Times New Roman" w:cs="Arial"/>
                <w:color w:val="000000"/>
                <w:lang w:eastAsia="en-GB"/>
              </w:rPr>
              <w:t>20⁺</w:t>
            </w:r>
            <w:r w:rsidRPr="00F521F0">
              <w:rPr>
                <w:rFonts w:eastAsia="Times New Roman" w:cs="Arial"/>
                <w:color w:val="000000"/>
                <w:lang w:eastAsia="en-GB"/>
              </w:rPr>
              <w:t xml:space="preserve"> years experience included with 13 years in QA/QC at Construction Sites.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 </w:t>
            </w:r>
            <w:r w:rsidRPr="00F521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Buildings &amp; Villas Construction: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Construction of Buildings / Residential Units and Housing Projects e.g.   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    1) ‘Al-</w:t>
            </w:r>
            <w:proofErr w:type="spellStart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Raha</w:t>
            </w:r>
            <w:proofErr w:type="spellEnd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Gardens’ consisting of 1380 villas &amp; townhouses in </w:t>
            </w:r>
            <w:r w:rsidRPr="00F521F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Abu Dhabi.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    2) ‘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Veneto-</w:t>
            </w:r>
            <w:r w:rsidRPr="008D2F9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ubai </w:t>
            </w:r>
            <w:r w:rsidRPr="008D2F9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W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aterfront’ consisting of 177 luxury villas &amp; townhouses in </w:t>
            </w:r>
            <w:proofErr w:type="spellStart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Jabel</w:t>
            </w:r>
            <w:proofErr w:type="spellEnd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Ali Free Zone, </w:t>
            </w:r>
            <w:r w:rsidRPr="00F521F0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Dubai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3)  ADNOC’s Petroleum Institute Research Centre in Abu Dhabi</w:t>
            </w:r>
          </w:p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4) </w:t>
            </w:r>
            <w:proofErr w:type="spellStart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Sitara</w:t>
            </w:r>
            <w:proofErr w:type="spellEnd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Spinning Mills Residential colony, Faisalabad.     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 </w:t>
            </w:r>
            <w:r w:rsidRPr="00F521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Industrial Construction: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:rsidR="001C5E06" w:rsidRPr="00F521F0" w:rsidRDefault="001C5E06" w:rsidP="00104014">
            <w:pPr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Chemical Plant, Gas &amp; Furnace oil Power Plants, Grid Station/Sub Stations and Ware-houses.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 </w:t>
            </w:r>
            <w:r w:rsidRPr="00F521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Oil &amp; Gas Field/EPC &amp; ESC Contracts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  <w:p w:rsidR="001C5E06" w:rsidRPr="00F521F0" w:rsidRDefault="001C5E06" w:rsidP="00104014">
            <w:pPr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Oil Gathering Stations, Gas Turbines Power Station, Oil &amp; Gas pipe lines in PDO areas.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</w:t>
            </w:r>
            <w:r w:rsidRPr="00F521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Infrastructure &amp; Development works: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1C5E06" w:rsidRPr="00F521F0" w:rsidRDefault="001C5E06" w:rsidP="00104014">
            <w:pPr>
              <w:spacing w:after="0" w:line="240" w:lineRule="auto"/>
              <w:ind w:left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Roads, Culverts &amp; bridges, Sewer &amp; drainage and Infra works for the developments of ‘Defence  Housing Project Phase II’- Islamabad that includes Storm water, Irrigation &amp; Water supply, underground electrical cables and Gas supply lines.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66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ind w:left="201" w:hanging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</w:t>
            </w:r>
            <w:r w:rsidRPr="00F521F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Railways: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1C5E06" w:rsidRPr="00F521F0" w:rsidRDefault="001C5E06" w:rsidP="00104014">
            <w:pPr>
              <w:spacing w:after="0" w:line="240" w:lineRule="auto"/>
              <w:ind w:left="20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Construction of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490.063</w:t>
            </w:r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KM long "CTW400 – North South Railway Project from Riyadh to </w:t>
            </w:r>
            <w:proofErr w:type="spellStart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>Qassim</w:t>
            </w:r>
            <w:proofErr w:type="spellEnd"/>
            <w:r w:rsidRPr="00F521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 including all link roads, Civil, Structural, and Rail/Track works. 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000000" w:fill="B8CCE4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Education</w:t>
            </w:r>
          </w:p>
        </w:tc>
      </w:tr>
      <w:tr w:rsidR="001C5E06" w:rsidRPr="005A0049" w:rsidTr="00104014">
        <w:trPr>
          <w:trHeight w:val="375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•</w:t>
            </w:r>
          </w:p>
        </w:tc>
        <w:tc>
          <w:tcPr>
            <w:tcW w:w="9207" w:type="dxa"/>
            <w:gridSpan w:val="9"/>
            <w:shd w:val="clear" w:color="auto" w:fill="auto"/>
            <w:vAlign w:val="center"/>
            <w:hideMark/>
          </w:tcPr>
          <w:p w:rsidR="001C5E06" w:rsidRPr="00F521F0" w:rsidRDefault="001C5E06" w:rsidP="00104014">
            <w:pPr>
              <w:spacing w:after="0" w:line="240" w:lineRule="auto"/>
              <w:ind w:left="-11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  <w:t xml:space="preserve"> </w:t>
            </w:r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  <w:t>Bachelor of Science in Civil Engineering, WAGU – North Carolina - Wilmington</w:t>
            </w:r>
          </w:p>
        </w:tc>
      </w:tr>
      <w:tr w:rsidR="001C5E06" w:rsidRPr="005A0049" w:rsidTr="00104014">
        <w:trPr>
          <w:trHeight w:val="375"/>
        </w:trPr>
        <w:tc>
          <w:tcPr>
            <w:tcW w:w="574" w:type="dxa"/>
            <w:shd w:val="clear" w:color="auto" w:fill="auto"/>
            <w:noWrap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A0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•</w:t>
            </w:r>
          </w:p>
        </w:tc>
        <w:tc>
          <w:tcPr>
            <w:tcW w:w="9207" w:type="dxa"/>
            <w:gridSpan w:val="9"/>
            <w:shd w:val="clear" w:color="auto" w:fill="auto"/>
            <w:hideMark/>
          </w:tcPr>
          <w:p w:rsidR="001C5E06" w:rsidRPr="00F521F0" w:rsidRDefault="001C5E06" w:rsidP="00104014">
            <w:pPr>
              <w:spacing w:after="0" w:line="240" w:lineRule="auto"/>
              <w:ind w:left="-11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  <w:t xml:space="preserve"> </w:t>
            </w:r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  <w:t xml:space="preserve">Associate Civil Engineering, Government College of Technology, </w:t>
            </w:r>
            <w:proofErr w:type="spellStart"/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  <w:t>Rasul</w:t>
            </w:r>
            <w:proofErr w:type="spellEnd"/>
            <w:r w:rsidRPr="00F521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eastAsia="en-GB"/>
              </w:rPr>
              <w:t>, Pakistan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000000" w:fill="B8CCE4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Certifications &amp; Membership</w:t>
            </w:r>
          </w:p>
        </w:tc>
      </w:tr>
      <w:tr w:rsidR="001C5E06" w:rsidRPr="005A0049" w:rsidTr="00104014">
        <w:trPr>
          <w:trHeight w:val="198"/>
        </w:trPr>
        <w:tc>
          <w:tcPr>
            <w:tcW w:w="9781" w:type="dxa"/>
            <w:gridSpan w:val="10"/>
            <w:shd w:val="clear" w:color="auto" w:fill="auto"/>
            <w:noWrap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ISO 9001:2015 QMS Lead Auditor – IRCA trained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>•    CMQ/OE (Certified Manager of Quality/Organizational Excellence)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>•    Registered Engineer with Saudi Council of Engineers – Membership ID 130009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•    PERMIT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Work - </w:t>
            </w: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>HOLDER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’ from Petroleum Development</w:t>
            </w:r>
            <w:r w:rsidRPr="005A004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Oman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(PDO)</w:t>
            </w:r>
          </w:p>
        </w:tc>
      </w:tr>
      <w:tr w:rsidR="001C5E06" w:rsidRPr="005A0049" w:rsidTr="00104014">
        <w:trPr>
          <w:trHeight w:val="330"/>
        </w:trPr>
        <w:tc>
          <w:tcPr>
            <w:tcW w:w="9781" w:type="dxa"/>
            <w:gridSpan w:val="10"/>
            <w:shd w:val="clear" w:color="000000" w:fill="8DB4E3"/>
            <w:noWrap/>
            <w:vAlign w:val="center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  <w:t>Professional Experience</w:t>
            </w:r>
            <w:r w:rsidRPr="005A0049"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  <w:t xml:space="preserve">&amp; </w:t>
            </w:r>
            <w:r w:rsidRPr="005A0049"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  <w:t>Job History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  <w:t xml:space="preserve"> </w:t>
            </w:r>
          </w:p>
        </w:tc>
      </w:tr>
      <w:tr w:rsidR="001C5E06" w:rsidRPr="005A0049" w:rsidTr="00104014">
        <w:trPr>
          <w:trHeight w:val="225"/>
        </w:trPr>
        <w:tc>
          <w:tcPr>
            <w:tcW w:w="9781" w:type="dxa"/>
            <w:gridSpan w:val="10"/>
            <w:shd w:val="clear" w:color="000000" w:fill="B6DDE8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2060"/>
                <w:lang w:eastAsia="en-GB"/>
              </w:rPr>
              <w:t xml:space="preserve">QA/QC Manager, 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>Consortium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 xml:space="preserve"> CTW400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 xml:space="preserve"> (CCECC</w:t>
            </w:r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>,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 xml:space="preserve"> Al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>Ayuni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 xml:space="preserve"> &amp; 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 xml:space="preserve"> Al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>Omaier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2060"/>
                <w:lang w:eastAsia="en-GB"/>
              </w:rPr>
              <w:t>), KSA</w:t>
            </w:r>
          </w:p>
        </w:tc>
      </w:tr>
      <w:tr w:rsidR="001C5E06" w:rsidRPr="005A0049" w:rsidTr="00104014">
        <w:trPr>
          <w:trHeight w:val="225"/>
        </w:trPr>
        <w:tc>
          <w:tcPr>
            <w:tcW w:w="9781" w:type="dxa"/>
            <w:gridSpan w:val="10"/>
            <w:shd w:val="clear" w:color="000000" w:fill="B6DDE8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CTW400</w:t>
            </w: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-North South Railway Project: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(490.063 KM from 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King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Khaled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International Airport Riyadh to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Azzabira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Junction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Qassim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1C5E06" w:rsidRPr="005A0049" w:rsidTr="00104014">
        <w:trPr>
          <w:trHeight w:val="225"/>
        </w:trPr>
        <w:tc>
          <w:tcPr>
            <w:tcW w:w="8080" w:type="dxa"/>
            <w:gridSpan w:val="9"/>
            <w:shd w:val="clear" w:color="000000" w:fill="B6DDE8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Project Value:</w:t>
            </w: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6B71C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18"/>
                <w:lang w:eastAsia="en-GB"/>
              </w:rPr>
              <w:t>4.141</w:t>
            </w:r>
            <w:r w:rsidRPr="006B71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billion Saudi Riyals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E12F7D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12F7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  <w:t>March,2013</w:t>
            </w:r>
          </w:p>
        </w:tc>
      </w:tr>
      <w:tr w:rsidR="001C5E06" w:rsidRPr="005A0049" w:rsidTr="00104014">
        <w:trPr>
          <w:trHeight w:val="225"/>
        </w:trPr>
        <w:tc>
          <w:tcPr>
            <w:tcW w:w="8080" w:type="dxa"/>
            <w:gridSpan w:val="9"/>
            <w:shd w:val="clear" w:color="000000" w:fill="B6DDE8"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Client: 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Saudi Arabian Railways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(SAR)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E12F7D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12F7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  <w:t>to</w:t>
            </w:r>
          </w:p>
        </w:tc>
      </w:tr>
      <w:tr w:rsidR="001C5E06" w:rsidRPr="005A0049" w:rsidTr="00104014">
        <w:trPr>
          <w:trHeight w:val="240"/>
        </w:trPr>
        <w:tc>
          <w:tcPr>
            <w:tcW w:w="8080" w:type="dxa"/>
            <w:gridSpan w:val="9"/>
            <w:shd w:val="clear" w:color="000000" w:fill="B6DDE8"/>
            <w:noWrap/>
            <w:vAlign w:val="bottom"/>
            <w:hideMark/>
          </w:tcPr>
          <w:p w:rsidR="001C5E06" w:rsidRPr="005A004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00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Engineer: </w:t>
            </w:r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ISC (The Louis Berger Group Inc., SCEC,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Khatib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Alami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Canaril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Systra</w:t>
            </w:r>
            <w:proofErr w:type="spellEnd"/>
            <w:r w:rsidRPr="005A00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E12F7D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12F7D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  <w:t>June,2016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vAlign w:val="bottom"/>
            <w:hideMark/>
          </w:tcPr>
          <w:p w:rsidR="001C5E06" w:rsidRPr="00ED62B5" w:rsidRDefault="001C5E06" w:rsidP="00104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28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62B5">
              <w:rPr>
                <w:rFonts w:ascii="Calibri" w:eastAsia="Times New Roman" w:hAnsi="Calibri" w:cs="Times New Roman"/>
                <w:color w:val="000000"/>
                <w:lang w:eastAsia="en-GB"/>
              </w:rPr>
              <w:t>Develop, review and implement as necessary the QC Programs, Procedure, other specific manuals, method statements and ITPs.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3C1DD5" w:rsidRDefault="001C5E06" w:rsidP="00104014">
            <w:p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vAlign w:val="center"/>
            <w:hideMark/>
          </w:tcPr>
          <w:p w:rsidR="001C5E06" w:rsidRPr="00ED62B5" w:rsidRDefault="001C5E06" w:rsidP="00104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62B5">
              <w:rPr>
                <w:rFonts w:ascii="Calibri" w:eastAsia="Times New Roman" w:hAnsi="Calibri" w:cs="Times New Roman"/>
                <w:color w:val="000000"/>
                <w:lang w:eastAsia="en-GB"/>
              </w:rPr>
              <w:t>Manage QA/QC activities, monitor and implementation of project QA/QC System and implementation of inspection and testing activities.</w:t>
            </w:r>
          </w:p>
        </w:tc>
      </w:tr>
      <w:tr w:rsidR="001C5E06" w:rsidRPr="005A0049" w:rsidTr="00104014">
        <w:trPr>
          <w:trHeight w:val="285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3C1DD5" w:rsidRDefault="001C5E06" w:rsidP="00104014">
            <w:p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ED62B5" w:rsidRDefault="001C5E06" w:rsidP="00104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62B5">
              <w:rPr>
                <w:rFonts w:ascii="Calibri" w:eastAsia="Times New Roman" w:hAnsi="Calibri" w:cs="Times New Roman"/>
                <w:color w:val="000000"/>
                <w:lang w:eastAsia="en-GB"/>
              </w:rPr>
              <w:t>Monitor Non Conformance and action taken and approve close outs.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ED62B5" w:rsidRDefault="001C5E06" w:rsidP="00104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62B5">
              <w:rPr>
                <w:rFonts w:ascii="Calibri" w:eastAsia="Times New Roman" w:hAnsi="Calibri" w:cs="Times New Roman"/>
                <w:color w:val="000000"/>
                <w:lang w:eastAsia="en-GB"/>
              </w:rPr>
              <w:t>Liaise with the ENGINEER (Consultants) for any related QA/QC issues and Internal/Eternal Audits.</w:t>
            </w:r>
          </w:p>
        </w:tc>
      </w:tr>
      <w:tr w:rsidR="001C5E06" w:rsidRPr="005A0049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ED62B5" w:rsidRDefault="001C5E06" w:rsidP="00104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62B5">
              <w:rPr>
                <w:rFonts w:ascii="Calibri" w:eastAsia="Times New Roman" w:hAnsi="Calibri" w:cs="Times New Roman"/>
                <w:color w:val="000000"/>
                <w:lang w:eastAsia="en-GB"/>
              </w:rPr>
              <w:t>Preparation and inspection of material samples prior to approval of ENGINEER.</w:t>
            </w:r>
          </w:p>
        </w:tc>
      </w:tr>
      <w:tr w:rsidR="001C5E06" w:rsidRPr="005A0049" w:rsidTr="00104014">
        <w:trPr>
          <w:trHeight w:val="428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ED62B5" w:rsidRDefault="001C5E06" w:rsidP="00104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62B5">
              <w:rPr>
                <w:rFonts w:ascii="Calibri" w:eastAsia="Times New Roman" w:hAnsi="Calibri" w:cs="Times New Roman"/>
                <w:color w:val="000000"/>
                <w:lang w:eastAsia="en-GB"/>
              </w:rPr>
              <w:t>Inspection and approval of all Sub Contractor’s facilities &amp; equipment prior to ENGINEER’s approval.</w:t>
            </w:r>
          </w:p>
        </w:tc>
      </w:tr>
      <w:tr w:rsidR="001C5E06" w:rsidRPr="00912245" w:rsidTr="00104014">
        <w:trPr>
          <w:trHeight w:val="360"/>
        </w:trPr>
        <w:tc>
          <w:tcPr>
            <w:tcW w:w="6914" w:type="dxa"/>
            <w:gridSpan w:val="8"/>
            <w:shd w:val="clear" w:color="000000" w:fill="8DB4E3"/>
            <w:noWrap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22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Site QA/QC Manager,</w:t>
            </w:r>
            <w:r w:rsidRPr="009122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1224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Al </w:t>
            </w:r>
            <w:proofErr w:type="spellStart"/>
            <w:r w:rsidRPr="0091224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Jaber</w:t>
            </w:r>
            <w:proofErr w:type="spellEnd"/>
            <w:r w:rsidRPr="0091224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Group, UAE </w:t>
            </w:r>
          </w:p>
        </w:tc>
        <w:tc>
          <w:tcPr>
            <w:tcW w:w="2867" w:type="dxa"/>
            <w:gridSpan w:val="2"/>
            <w:shd w:val="clear" w:color="000000" w:fill="FCD5B4"/>
            <w:noWrap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12245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 xml:space="preserve">Jan. 2006 to Feb. 2013 </w:t>
            </w:r>
          </w:p>
        </w:tc>
      </w:tr>
      <w:tr w:rsidR="001C5E06" w:rsidRPr="00912245" w:rsidTr="00104014">
        <w:trPr>
          <w:trHeight w:val="270"/>
        </w:trPr>
        <w:tc>
          <w:tcPr>
            <w:tcW w:w="9781" w:type="dxa"/>
            <w:gridSpan w:val="10"/>
            <w:shd w:val="clear" w:color="000000" w:fill="B6DDE8"/>
            <w:noWrap/>
            <w:vAlign w:val="center"/>
            <w:hideMark/>
          </w:tcPr>
          <w:p w:rsidR="001C5E06" w:rsidRPr="00A10560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</w:pPr>
            <w:r w:rsidRPr="001465B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Al-</w:t>
            </w:r>
            <w:proofErr w:type="spellStart"/>
            <w:r w:rsidRPr="001465B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Raha</w:t>
            </w:r>
            <w:proofErr w:type="spellEnd"/>
            <w:r w:rsidRPr="001465B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 xml:space="preserve"> Gardens Residential Compounds</w:t>
            </w: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– 1380 Villas and Townhouses, Abu Dhabi </w:t>
            </w:r>
            <w:r w:rsidRPr="00A1056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en-GB"/>
              </w:rPr>
              <w:t>(Jan. 2006 to July 2008)</w:t>
            </w:r>
          </w:p>
          <w:p w:rsidR="001C5E06" w:rsidRPr="001465B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Project Cost: AED 1.68 billions,  Client: AL Dar</w:t>
            </w:r>
          </w:p>
        </w:tc>
      </w:tr>
      <w:tr w:rsidR="001C5E06" w:rsidRPr="00912245" w:rsidTr="00104014">
        <w:trPr>
          <w:trHeight w:val="240"/>
        </w:trPr>
        <w:tc>
          <w:tcPr>
            <w:tcW w:w="9781" w:type="dxa"/>
            <w:gridSpan w:val="10"/>
            <w:shd w:val="clear" w:color="000000" w:fill="B6DDE8"/>
            <w:noWrap/>
            <w:vAlign w:val="center"/>
            <w:hideMark/>
          </w:tcPr>
          <w:p w:rsidR="001C5E06" w:rsidRPr="001465B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465B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Veneto-Dubai Waterfront</w:t>
            </w: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- Construction of 177 Villas &amp; Townhouses (July, 2008 to Oct, 2012)</w:t>
            </w:r>
          </w:p>
          <w:p w:rsidR="001C5E06" w:rsidRPr="001465B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Project Cost: AED 2.658  billions, Client: </w:t>
            </w:r>
            <w:proofErr w:type="spellStart"/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Nakheel</w:t>
            </w:r>
            <w:proofErr w:type="spellEnd"/>
          </w:p>
        </w:tc>
      </w:tr>
      <w:tr w:rsidR="001C5E06" w:rsidRPr="00912245" w:rsidTr="00104014">
        <w:trPr>
          <w:trHeight w:val="285"/>
        </w:trPr>
        <w:tc>
          <w:tcPr>
            <w:tcW w:w="9781" w:type="dxa"/>
            <w:gridSpan w:val="10"/>
            <w:shd w:val="clear" w:color="000000" w:fill="B6DDE8"/>
            <w:noWrap/>
            <w:vAlign w:val="bottom"/>
            <w:hideMark/>
          </w:tcPr>
          <w:p w:rsidR="001C5E06" w:rsidRPr="001465B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1465B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 xml:space="preserve">Petroleum Institute Research Centre, </w:t>
            </w: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Abu Dhabi</w:t>
            </w:r>
            <w:r w:rsidRPr="001465B5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 xml:space="preserve"> </w:t>
            </w: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(Oct. 2012 to Feb. 2013)</w:t>
            </w:r>
          </w:p>
          <w:p w:rsidR="001C5E06" w:rsidRPr="001465B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Project Cost: AED 237 millions,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r w:rsidRPr="001465B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Client: ADNOC (Abu Dhabi National Oil Company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)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approve the development of in-house, subcontractor’s 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roject quality plans and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ensure that the project quality systems and related procedures preventively address the assurance of quality in procurement area and construction activity.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269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Calibri"/>
                <w:color w:val="000000"/>
                <w:lang w:eastAsia="en-GB"/>
              </w:rPr>
              <w:t>Review and evaluate the in-house document control system and</w:t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design the additional elements      required to meet the contract requirements and ensure their implementation throughout the      project with other discipline engineers.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269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Calibri"/>
                <w:color w:val="000000"/>
                <w:lang w:eastAsia="en-GB"/>
              </w:rPr>
              <w:t>Supervise and participate in construction surveillance at</w:t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site, advising management and       recommending actions to resolve areas of concern.</w:t>
            </w:r>
          </w:p>
        </w:tc>
      </w:tr>
      <w:tr w:rsidR="001C5E06" w:rsidRPr="00912245" w:rsidTr="00104014">
        <w:trPr>
          <w:trHeight w:val="269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Calibri"/>
                <w:color w:val="000000"/>
                <w:lang w:eastAsia="en-GB"/>
              </w:rPr>
              <w:t>Leads and coordinates quality related activities throughout</w:t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project phases.</w:t>
            </w:r>
          </w:p>
        </w:tc>
      </w:tr>
      <w:tr w:rsidR="001C5E06" w:rsidRPr="00912245" w:rsidTr="00104014">
        <w:trPr>
          <w:trHeight w:val="599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Calibri"/>
                <w:color w:val="000000"/>
                <w:lang w:eastAsia="en-GB"/>
              </w:rPr>
              <w:t>Ensure that project quality records are generated and</w:t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certified by the CLIENT in a professional       manner to facilitate the smooth handing over of the project.</w:t>
            </w:r>
          </w:p>
        </w:tc>
      </w:tr>
      <w:tr w:rsidR="001C5E06" w:rsidRPr="00912245" w:rsidTr="00104014">
        <w:trPr>
          <w:trHeight w:val="20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0049A7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QC Engineer, </w:t>
            </w:r>
            <w:r w:rsidRPr="000049A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Special Technical Services (STS), Oman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010B97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010B97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June, 2004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bottom"/>
            <w:hideMark/>
          </w:tcPr>
          <w:p w:rsidR="001C5E06" w:rsidRPr="000049A7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0049A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Engineering Service Contract, PDO- </w:t>
            </w:r>
            <w:proofErr w:type="spellStart"/>
            <w:r w:rsidRPr="000049A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Qarnalam</w:t>
            </w:r>
            <w:proofErr w:type="spellEnd"/>
            <w:r w:rsidRPr="000049A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, Sultanate Of Oman</w:t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010B97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010B97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bottom"/>
            <w:hideMark/>
          </w:tcPr>
          <w:p w:rsidR="001C5E06" w:rsidRPr="000049A7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Petroleum Development Oman (PDO) 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010B97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010B97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Dec. 2005</w:t>
            </w:r>
          </w:p>
        </w:tc>
      </w:tr>
      <w:tr w:rsidR="001C5E06" w:rsidRPr="00912245" w:rsidTr="00104014">
        <w:trPr>
          <w:trHeight w:hRule="exact" w:val="471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5440FE" w:rsidRDefault="001C5E06" w:rsidP="00104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Construction/laying of 8” &amp; 10” </w:t>
            </w:r>
            <w:proofErr w:type="spellStart"/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dia</w:t>
            </w:r>
            <w:proofErr w:type="spellEnd"/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‘Duplex Stainless Steel' oil flow lines covering 20 linear KM and the Cable Trench work for power supply to CP System inside LNG Plant at </w:t>
            </w:r>
            <w:proofErr w:type="spellStart"/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Saihrawl</w:t>
            </w:r>
            <w:proofErr w:type="spellEnd"/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.</w:t>
            </w:r>
          </w:p>
        </w:tc>
      </w:tr>
      <w:tr w:rsidR="001C5E06" w:rsidRPr="00912245" w:rsidTr="00104014">
        <w:trPr>
          <w:trHeight w:val="244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Periodic inspections for </w:t>
            </w:r>
            <w:proofErr w:type="gramStart"/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Civil</w:t>
            </w:r>
            <w:proofErr w:type="gramEnd"/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 performed and Inspection of materials at site.</w:t>
            </w:r>
          </w:p>
        </w:tc>
      </w:tr>
      <w:tr w:rsidR="001C5E06" w:rsidRPr="00912245" w:rsidTr="00104014">
        <w:trPr>
          <w:trHeight w:val="2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Ensure that all relevant civil works are executed at site in compliance with the approved MS and ITP.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Co-ordination with the Project’s Safety to ensure that all statutory requirements are in place.</w:t>
            </w:r>
          </w:p>
        </w:tc>
      </w:tr>
      <w:tr w:rsidR="001C5E06" w:rsidRPr="00912245" w:rsidTr="00104014">
        <w:trPr>
          <w:trHeight w:val="477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0049A7" w:rsidRDefault="001C5E06" w:rsidP="00104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Review of all certification and documentation to ensure validity and compliance with project’s specs</w:t>
            </w:r>
            <w:proofErr w:type="gramStart"/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>./</w:t>
            </w:r>
            <w:proofErr w:type="gramEnd"/>
            <w:r w:rsidRPr="00004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relevant drawings and Inspection and Test Plans.</w:t>
            </w:r>
          </w:p>
        </w:tc>
      </w:tr>
      <w:tr w:rsidR="001C5E06" w:rsidRPr="00912245" w:rsidTr="00104014">
        <w:trPr>
          <w:trHeight w:val="345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4B19A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19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Site Engineer</w:t>
            </w:r>
            <w:r w:rsidRPr="005440F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  <w:t>,</w:t>
            </w: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Habib</w:t>
            </w:r>
            <w:proofErr w:type="spellEnd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Rafique</w:t>
            </w:r>
            <w:proofErr w:type="spellEnd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(Pvt.) Ltd. Pakistan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5440FE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Dec. 2003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4B19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Development of </w:t>
            </w:r>
            <w:proofErr w:type="spellStart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Defense</w:t>
            </w:r>
            <w:proofErr w:type="spellEnd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Housing Authority (DHA-Ph.2), Islamabad</w:t>
            </w:r>
          </w:p>
          <w:p w:rsidR="001C5E06" w:rsidRPr="004B19A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B19A9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GB"/>
              </w:rPr>
              <w:t>Project Cost:</w:t>
            </w:r>
            <w:r w:rsidRPr="004B19A9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Pak Rs. 3.45 billion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5440FE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4B19A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B19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proofErr w:type="spellStart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Defense</w:t>
            </w:r>
            <w:proofErr w:type="spellEnd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Housing Authority (DHA), Pakistan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5440FE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June, 2004</w:t>
            </w:r>
          </w:p>
        </w:tc>
      </w:tr>
      <w:tr w:rsidR="001C5E06" w:rsidRPr="00912245" w:rsidTr="00104014">
        <w:trPr>
          <w:trHeight w:val="824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564EB9" w:rsidRDefault="001C5E06" w:rsidP="00104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supervision of all development works in DHA-Ph.2, Islamabad. It included preparation of residential &amp; commercial plots and other infrastructure works such as roads, Sewerage and RCC works for open drain channel, installation of electrical posts and cable trenches, etc.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8359EC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9EC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  <w:t>Civil/QC Engineer,</w:t>
            </w:r>
            <w:r w:rsidRPr="008359E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ALEC (Al </w:t>
            </w:r>
            <w:proofErr w:type="spellStart"/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Jaber</w:t>
            </w:r>
            <w:proofErr w:type="spellEnd"/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LTA-</w:t>
            </w:r>
            <w:proofErr w:type="spellStart"/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Grinaker</w:t>
            </w:r>
            <w:proofErr w:type="spellEnd"/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Engineering &amp; Contracting Company),</w:t>
            </w:r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r w:rsidRPr="008359EC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UAE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5440FE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Feb. 2003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8359EC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359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544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afe Water </w:t>
            </w:r>
            <w:proofErr w:type="spellStart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Chlor</w:t>
            </w:r>
            <w:proofErr w:type="spellEnd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Alkali Process Plant ( </w:t>
            </w:r>
            <w:r w:rsidRPr="005440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Safe Water Chemicals Ltd.), </w:t>
            </w:r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Abu Dhabi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5440FE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8359EC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359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Al </w:t>
            </w:r>
            <w:proofErr w:type="spellStart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>Jaber</w:t>
            </w:r>
            <w:proofErr w:type="spellEnd"/>
            <w:r w:rsidRPr="005440FE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en-GB"/>
              </w:rPr>
              <w:t xml:space="preserve"> Energy Services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5440FE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1"/>
                <w:szCs w:val="21"/>
                <w:lang w:eastAsia="en-GB"/>
              </w:rPr>
              <w:t>Nov. 2003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vAlign w:val="center"/>
            <w:hideMark/>
          </w:tcPr>
          <w:p w:rsidR="001C5E06" w:rsidRPr="005440FE" w:rsidRDefault="001C5E06" w:rsidP="00104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Construction supervision to construct ‘Safe Water Chemicals Ltd.’ a Chemical Plant to produce Hydrochloric Acid, Caustic Soda and Bleach. It included a variety of civil and structural works such as Heavy tank foundations, Brine pits, Structural walkways, Warehouses &amp; Storage yards, Internal roads, sewage &amp; drainage works etc. </w:t>
            </w:r>
          </w:p>
        </w:tc>
      </w:tr>
      <w:tr w:rsidR="001C5E06" w:rsidRPr="00912245" w:rsidTr="00104014">
        <w:trPr>
          <w:trHeight w:val="726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5440FE" w:rsidRDefault="001C5E06" w:rsidP="00104014">
            <w:p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1C5E06" w:rsidRPr="00912245" w:rsidTr="00104014">
        <w:trPr>
          <w:trHeight w:val="287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5440FE" w:rsidRDefault="001C5E06" w:rsidP="00104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Raise RFIs (Request for Information) as required to clarify the drawing’s conflicts and confusions.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5440FE" w:rsidRDefault="001C5E06" w:rsidP="00104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Attending site inspections at intervals as per site programme.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5440FE" w:rsidRDefault="001C5E06" w:rsidP="00104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Post concrete inspections to ensure the quality of work.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1C5E06" w:rsidRPr="005440FE" w:rsidRDefault="001C5E06" w:rsidP="00104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Ensure the proper follow up of drawings, method statements and ITP’s.</w:t>
            </w:r>
          </w:p>
        </w:tc>
      </w:tr>
      <w:tr w:rsidR="001C5E06" w:rsidRPr="00912245" w:rsidTr="00104014">
        <w:trPr>
          <w:trHeight w:val="270"/>
        </w:trPr>
        <w:tc>
          <w:tcPr>
            <w:tcW w:w="8080" w:type="dxa"/>
            <w:gridSpan w:val="9"/>
            <w:shd w:val="clear" w:color="000000" w:fill="8DB4E3"/>
            <w:noWrap/>
            <w:vAlign w:val="bottom"/>
            <w:hideMark/>
          </w:tcPr>
          <w:p w:rsidR="001C5E06" w:rsidRPr="00564EB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Civil Discipline Head/Supervisor,</w:t>
            </w:r>
            <w:r w:rsidRPr="00564E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564EB9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Al Hassan Engineering Company, Oman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564EB9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1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1"/>
                <w:lang w:eastAsia="en-GB"/>
              </w:rPr>
              <w:t>May, 1998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564EB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Projects: </w:t>
            </w:r>
            <w:r w:rsidRPr="00564EB9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Power Stations / Oil Gathering Stations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564EB9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1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bCs/>
                <w:i/>
                <w:iCs/>
                <w:color w:val="000000"/>
                <w:szCs w:val="21"/>
                <w:lang w:eastAsia="en-GB"/>
              </w:rPr>
              <w:t>to May, 2002</w:t>
            </w:r>
          </w:p>
        </w:tc>
      </w:tr>
      <w:tr w:rsidR="001C5E06" w:rsidRPr="00912245" w:rsidTr="00104014">
        <w:trPr>
          <w:trHeight w:val="300"/>
        </w:trPr>
        <w:tc>
          <w:tcPr>
            <w:tcW w:w="5954" w:type="dxa"/>
            <w:gridSpan w:val="7"/>
            <w:shd w:val="clear" w:color="000000" w:fill="DBEEF3"/>
            <w:noWrap/>
            <w:vAlign w:val="center"/>
            <w:hideMark/>
          </w:tcPr>
          <w:p w:rsidR="001C5E06" w:rsidRPr="00564EB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1. </w:t>
            </w:r>
            <w:proofErr w:type="spellStart"/>
            <w:r w:rsidRPr="00564E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Hubara</w:t>
            </w:r>
            <w:proofErr w:type="spellEnd"/>
            <w:r w:rsidRPr="00564E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Power Plant Project - </w:t>
            </w:r>
            <w:r w:rsidRPr="00564EB9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Civil Discipline Head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5954" w:type="dxa"/>
            <w:gridSpan w:val="7"/>
            <w:shd w:val="clear" w:color="000000" w:fill="DBEEF3"/>
            <w:noWrap/>
            <w:vAlign w:val="center"/>
            <w:hideMark/>
          </w:tcPr>
          <w:p w:rsidR="001C5E06" w:rsidRPr="00564EB9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4E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564EB9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Petroleum Development Oman (PDO)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E06" w:rsidRPr="00912245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5440FE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Supervision of Civil and Structural activities for the construction of 90 (30x3) </w:t>
            </w:r>
            <w:proofErr w:type="spellStart"/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M.Watts</w:t>
            </w:r>
            <w:proofErr w:type="spellEnd"/>
            <w:r w:rsidRPr="005440F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Gas Turbine Power Plant Project that included the multiple foundation work, the construction of a control building, 60 bar fuel pipe line, 450m long RCC sewer drain, fencing work &amp; two (2) nos. of RCC bridges.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291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277"/>
        </w:trPr>
        <w:tc>
          <w:tcPr>
            <w:tcW w:w="5954" w:type="dxa"/>
            <w:gridSpan w:val="7"/>
            <w:shd w:val="clear" w:color="000000" w:fill="DBEEF3"/>
            <w:noWrap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 Deep 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ater Disposal facilities Project</w:t>
            </w: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– Civil Supervisor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5954" w:type="dxa"/>
            <w:gridSpan w:val="7"/>
            <w:shd w:val="clear" w:color="000000" w:fill="DBEEF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Petroleum Development Oman (PDO)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30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Supervision of Civil and Structural works for the construction of 3 Oil Gathering Stations at 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Ph.I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II and III. It included the structural works for equipment foundations and all civil works to </w:t>
            </w:r>
            <w:proofErr w:type="gram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lay</w:t>
            </w:r>
            <w:proofErr w:type="gram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construction of 22 KM long 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dia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10”, 16” and 24” oil pipe lines running through these stations. Supervised also the construction of roads &amp; bridges inside stations and fencing works around these stations.</w:t>
            </w:r>
          </w:p>
        </w:tc>
      </w:tr>
      <w:tr w:rsidR="001C5E06" w:rsidRPr="00912245" w:rsidTr="00104014">
        <w:trPr>
          <w:trHeight w:val="285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452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5954" w:type="dxa"/>
            <w:gridSpan w:val="7"/>
            <w:shd w:val="clear" w:color="000000" w:fill="DBEEF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3. </w:t>
            </w:r>
            <w:proofErr w:type="spellStart"/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Sharqiya</w:t>
            </w:r>
            <w:proofErr w:type="spellEnd"/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Transmission System Proj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ect</w:t>
            </w: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-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Civil Supervisor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5954" w:type="dxa"/>
            <w:gridSpan w:val="7"/>
            <w:shd w:val="clear" w:color="000000" w:fill="DBEEF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Ministry of Electricity and Water, Oman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45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Supervision of all civil and structural works for the labour camp setting and construction of multiple equipment foundations for the construction of 500 KV Sub Station, a control building including all plumbing, sanitary and sewerage works, 500m long RCC Cable Trenches and 400m long outside stone pitched Rain water drain.</w:t>
            </w: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468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912245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15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Civil Engineer,</w:t>
            </w: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Al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Wasay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Construction Company, Pakistan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July 1996</w:t>
            </w:r>
          </w:p>
        </w:tc>
      </w:tr>
      <w:tr w:rsidR="001C5E06" w:rsidRPr="00912245" w:rsidTr="00104014">
        <w:trPr>
          <w:trHeight w:val="285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500 / 220 KV Grid Station - Project Cost: Pak Rs. 1.0 billions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255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Water and Power Distribution Authority (WAPDA), Pakistan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Dec. 1997</w:t>
            </w:r>
          </w:p>
        </w:tc>
      </w:tr>
      <w:tr w:rsidR="001C5E06" w:rsidRPr="00912245" w:rsidTr="00104014">
        <w:trPr>
          <w:trHeight w:val="375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of 500/220 KV Step up and Step down Grid Station consisting of all structural foundation works, RCC trenches, Bituminous &amp; RCC roads in and alongside Grid Station area.</w:t>
            </w:r>
          </w:p>
        </w:tc>
      </w:tr>
      <w:tr w:rsidR="001C5E06" w:rsidRPr="00912245" w:rsidTr="00104014">
        <w:trPr>
          <w:trHeight w:val="269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Civil Engineer,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Khokhar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&amp; Company, Pakistan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May, 1994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48 MW Furnace Oil Power Plant</w:t>
            </w:r>
          </w:p>
        </w:tc>
        <w:tc>
          <w:tcPr>
            <w:tcW w:w="1701" w:type="dxa"/>
            <w:shd w:val="clear" w:color="000000" w:fill="FCD5B4"/>
            <w:noWrap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Sitara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Energy (Pvt.) Ltd. Pakistan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July, 1996</w:t>
            </w:r>
          </w:p>
        </w:tc>
      </w:tr>
      <w:tr w:rsidR="001C5E06" w:rsidRPr="00912245" w:rsidTr="00104014">
        <w:trPr>
          <w:trHeight w:val="854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of 48 MW Power Plant Project “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Sitara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Energy (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Pvt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Ltd”, a project delivered by 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Sitara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 of Companies consisting of multiple equipment and Tank foundations including the Fire Walls and fuel pipe lines connecting the Tanks to power Generators and other equipments.</w:t>
            </w:r>
          </w:p>
        </w:tc>
      </w:tr>
      <w:tr w:rsidR="001C5E06" w:rsidRPr="00912245" w:rsidTr="00104014">
        <w:trPr>
          <w:trHeight w:val="315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Supervisor,</w:t>
            </w: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Ahsan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Brothers, Pakistan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Oct. 1993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FMR (Farm to Market Road)</w:t>
            </w:r>
          </w:p>
        </w:tc>
        <w:tc>
          <w:tcPr>
            <w:tcW w:w="1701" w:type="dxa"/>
            <w:shd w:val="clear" w:color="000000" w:fill="FCD5B4"/>
            <w:noWrap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Public Works Department (PWD), Pakistan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April, 1994</w:t>
            </w:r>
          </w:p>
        </w:tc>
      </w:tr>
      <w:tr w:rsidR="001C5E06" w:rsidRPr="00912245" w:rsidTr="00104014">
        <w:trPr>
          <w:trHeight w:val="794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Construction of Farm to Market Road Project situated at Fort 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Abbas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(Bahawalpur) </w:t>
            </w:r>
            <w:proofErr w:type="gram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area,</w:t>
            </w:r>
            <w:proofErr w:type="gram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included the civil works for the construction of small bridges/culverts and all earth works, Sub base, Base &amp; DST top wearing course for the completion of 22 KM long road.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Surveyor cum Civil Supervisor,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Daewoo Corporation, Pakistan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March, 1993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Lahore--Islamabad Motor Way Project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National Highway Authority (NHA), Pakistan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Sep. 1993</w:t>
            </w:r>
          </w:p>
        </w:tc>
      </w:tr>
      <w:tr w:rsidR="001C5E06" w:rsidRPr="00912245" w:rsidTr="00104014">
        <w:trPr>
          <w:trHeight w:val="804"/>
        </w:trPr>
        <w:tc>
          <w:tcPr>
            <w:tcW w:w="9781" w:type="dxa"/>
            <w:gridSpan w:val="10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of Long Bridge over the Jhelum river in Section 5 area of Lahore- Islamabad Motor Way Project. Assigned duties also included the supervision, levelling &amp; layout works for the construction of subways being carried out over the Section 5 area of Motor-way project.</w:t>
            </w:r>
          </w:p>
        </w:tc>
      </w:tr>
      <w:tr w:rsidR="001C5E06" w:rsidRPr="00912245" w:rsidTr="00104014">
        <w:trPr>
          <w:trHeight w:val="315"/>
        </w:trPr>
        <w:tc>
          <w:tcPr>
            <w:tcW w:w="8080" w:type="dxa"/>
            <w:gridSpan w:val="9"/>
            <w:shd w:val="clear" w:color="000000" w:fill="8DB4E3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Sub Engineer,</w:t>
            </w: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Hameed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Construction Company, Pakistan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Dec. 1991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Project: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Sitara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Spinning Mills Residential Colony</w:t>
            </w:r>
          </w:p>
        </w:tc>
        <w:tc>
          <w:tcPr>
            <w:tcW w:w="1701" w:type="dxa"/>
            <w:shd w:val="clear" w:color="000000" w:fill="FCD5B4"/>
            <w:noWrap/>
            <w:vAlign w:val="center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to</w:t>
            </w:r>
          </w:p>
        </w:tc>
      </w:tr>
      <w:tr w:rsidR="001C5E06" w:rsidRPr="00912245" w:rsidTr="00104014">
        <w:trPr>
          <w:trHeight w:val="300"/>
        </w:trPr>
        <w:tc>
          <w:tcPr>
            <w:tcW w:w="8080" w:type="dxa"/>
            <w:gridSpan w:val="9"/>
            <w:shd w:val="clear" w:color="000000" w:fill="B6DDE8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Client: </w:t>
            </w:r>
            <w:proofErr w:type="spellStart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Sitara</w:t>
            </w:r>
            <w:proofErr w:type="spellEnd"/>
            <w:r w:rsidRPr="00E2611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Group of Industries, Pakistan</w:t>
            </w:r>
          </w:p>
        </w:tc>
        <w:tc>
          <w:tcPr>
            <w:tcW w:w="1701" w:type="dxa"/>
            <w:shd w:val="clear" w:color="000000" w:fill="FCD5B4"/>
            <w:noWrap/>
            <w:vAlign w:val="bottom"/>
            <w:hideMark/>
          </w:tcPr>
          <w:p w:rsidR="001C5E06" w:rsidRPr="00991A0A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991A0A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  <w:t>Oct. 1992</w:t>
            </w:r>
          </w:p>
        </w:tc>
      </w:tr>
      <w:tr w:rsidR="001C5E06" w:rsidRPr="00912245" w:rsidTr="00104014">
        <w:trPr>
          <w:trHeight w:val="330"/>
        </w:trPr>
        <w:tc>
          <w:tcPr>
            <w:tcW w:w="9781" w:type="dxa"/>
            <w:gridSpan w:val="10"/>
            <w:vMerge w:val="restart"/>
            <w:shd w:val="clear" w:color="auto" w:fill="auto"/>
            <w:hideMark/>
          </w:tcPr>
          <w:p w:rsidR="001C5E06" w:rsidRPr="00E2611D" w:rsidRDefault="001C5E06" w:rsidP="001040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Construction of a Residential colony inside the premises of </w:t>
            </w:r>
            <w:proofErr w:type="spellStart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Sitara</w:t>
            </w:r>
            <w:proofErr w:type="spellEnd"/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Spinning Mills Ltd. at Faisalabad area. It consisted of single and double storey buildings divided into ‘C’ and ‘D’ type flats.</w:t>
            </w:r>
          </w:p>
        </w:tc>
      </w:tr>
      <w:tr w:rsidR="001C5E06" w:rsidRPr="00912245" w:rsidTr="00104014">
        <w:trPr>
          <w:trHeight w:val="299"/>
        </w:trPr>
        <w:tc>
          <w:tcPr>
            <w:tcW w:w="9781" w:type="dxa"/>
            <w:gridSpan w:val="10"/>
            <w:vMerge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000000" w:fill="8DB4E3"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Languages</w:t>
            </w:r>
          </w:p>
        </w:tc>
      </w:tr>
      <w:tr w:rsidR="001C5E06" w:rsidRPr="00912245" w:rsidTr="00104014">
        <w:trPr>
          <w:trHeight w:val="417"/>
        </w:trPr>
        <w:tc>
          <w:tcPr>
            <w:tcW w:w="3971" w:type="dxa"/>
            <w:gridSpan w:val="5"/>
            <w:shd w:val="clear" w:color="auto" w:fill="auto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English, Urdu, Punjabi, Hindi, Arabic</w:t>
            </w:r>
          </w:p>
        </w:tc>
        <w:tc>
          <w:tcPr>
            <w:tcW w:w="5810" w:type="dxa"/>
            <w:gridSpan w:val="5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5E06" w:rsidRPr="00912245" w:rsidTr="00104014">
        <w:trPr>
          <w:trHeight w:val="300"/>
        </w:trPr>
        <w:tc>
          <w:tcPr>
            <w:tcW w:w="9781" w:type="dxa"/>
            <w:gridSpan w:val="10"/>
            <w:shd w:val="clear" w:color="000000" w:fill="8DB4E3"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Personal Details</w:t>
            </w:r>
          </w:p>
        </w:tc>
      </w:tr>
      <w:tr w:rsidR="001C5E06" w:rsidRPr="00912245" w:rsidTr="00104014">
        <w:trPr>
          <w:trHeight w:val="300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Nationality:</w:t>
            </w:r>
          </w:p>
        </w:tc>
        <w:tc>
          <w:tcPr>
            <w:tcW w:w="7736" w:type="dxa"/>
            <w:gridSpan w:val="7"/>
            <w:shd w:val="clear" w:color="auto" w:fill="auto"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Pakistan</w:t>
            </w:r>
          </w:p>
        </w:tc>
      </w:tr>
      <w:tr w:rsidR="001C5E06" w:rsidRPr="00912245" w:rsidTr="00104014">
        <w:trPr>
          <w:trHeight w:val="300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Date of Birth:</w:t>
            </w:r>
          </w:p>
        </w:tc>
        <w:tc>
          <w:tcPr>
            <w:tcW w:w="7736" w:type="dxa"/>
            <w:gridSpan w:val="7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Nov. 20, 1968</w:t>
            </w:r>
          </w:p>
        </w:tc>
      </w:tr>
      <w:tr w:rsidR="001C5E06" w:rsidRPr="00912245" w:rsidTr="00104014">
        <w:trPr>
          <w:trHeight w:val="300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Marital Status:</w:t>
            </w:r>
          </w:p>
        </w:tc>
        <w:tc>
          <w:tcPr>
            <w:tcW w:w="7736" w:type="dxa"/>
            <w:gridSpan w:val="7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Married</w:t>
            </w:r>
          </w:p>
        </w:tc>
      </w:tr>
      <w:tr w:rsidR="001C5E06" w:rsidRPr="00912245" w:rsidTr="00104014">
        <w:trPr>
          <w:trHeight w:val="300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>Driving Licence:</w:t>
            </w:r>
          </w:p>
        </w:tc>
        <w:tc>
          <w:tcPr>
            <w:tcW w:w="7736" w:type="dxa"/>
            <w:gridSpan w:val="7"/>
            <w:shd w:val="clear" w:color="auto" w:fill="auto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6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UAE, KSA and Pakistan  (L/Vehicle)</w:t>
            </w:r>
          </w:p>
        </w:tc>
      </w:tr>
      <w:tr w:rsidR="001C5E06" w:rsidRPr="00912245" w:rsidTr="00104014">
        <w:trPr>
          <w:trHeight w:val="300"/>
        </w:trPr>
        <w:tc>
          <w:tcPr>
            <w:tcW w:w="2045" w:type="dxa"/>
            <w:gridSpan w:val="3"/>
            <w:shd w:val="clear" w:color="auto" w:fill="auto"/>
            <w:noWrap/>
            <w:vAlign w:val="bottom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36" w:type="dxa"/>
            <w:gridSpan w:val="7"/>
            <w:shd w:val="clear" w:color="auto" w:fill="auto"/>
            <w:noWrap/>
            <w:vAlign w:val="center"/>
            <w:hideMark/>
          </w:tcPr>
          <w:p w:rsidR="001C5E06" w:rsidRPr="00E2611D" w:rsidRDefault="001C5E06" w:rsidP="00104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C5E06" w:rsidRPr="00912245" w:rsidRDefault="001C5E06" w:rsidP="001C5E06">
      <w:pPr>
        <w:ind w:left="-142"/>
        <w:rPr>
          <w:rFonts w:ascii="Calibri" w:hAnsi="Calibri"/>
          <w:sz w:val="24"/>
          <w:szCs w:val="24"/>
        </w:rPr>
      </w:pPr>
      <w:r w:rsidRPr="0091224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Visa Status: UAE Visit Visa</w:t>
      </w:r>
    </w:p>
    <w:p w:rsidR="00322894" w:rsidRDefault="00322894"/>
    <w:sectPr w:rsidR="00322894" w:rsidSect="001C5E06">
      <w:pgSz w:w="11906" w:h="16838"/>
      <w:pgMar w:top="851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71"/>
    <w:multiLevelType w:val="hybridMultilevel"/>
    <w:tmpl w:val="BF383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0757"/>
    <w:multiLevelType w:val="hybridMultilevel"/>
    <w:tmpl w:val="086C58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B735F"/>
    <w:multiLevelType w:val="hybridMultilevel"/>
    <w:tmpl w:val="B84A7ACA"/>
    <w:lvl w:ilvl="0" w:tplc="080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ACA5005"/>
    <w:multiLevelType w:val="hybridMultilevel"/>
    <w:tmpl w:val="99804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57FDB"/>
    <w:multiLevelType w:val="hybridMultilevel"/>
    <w:tmpl w:val="9F6458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5E06"/>
    <w:rsid w:val="001C5E06"/>
    <w:rsid w:val="0032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.3786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1</cp:revision>
  <dcterms:created xsi:type="dcterms:W3CDTF">2018-03-16T10:08:00Z</dcterms:created>
  <dcterms:modified xsi:type="dcterms:W3CDTF">2018-03-16T10:09:00Z</dcterms:modified>
</cp:coreProperties>
</file>