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1" w:rsidRDefault="00AF582C">
      <w:pPr>
        <w:rPr>
          <w:rFonts w:ascii="Garamond" w:eastAsia="Garamond" w:hAnsi="Garamond" w:cs="Garamond"/>
          <w:b/>
          <w:bCs/>
          <w:sz w:val="56"/>
          <w:szCs w:val="56"/>
        </w:rPr>
      </w:pPr>
      <w:r>
        <w:rPr>
          <w:rFonts w:ascii="Garamond" w:eastAsia="Garamond" w:hAnsi="Garamond" w:cs="Garamond"/>
          <w:b/>
          <w:bCs/>
          <w:noProof/>
          <w:sz w:val="56"/>
          <w:szCs w:val="56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858520</wp:posOffset>
            </wp:positionH>
            <wp:positionV relativeFrom="page">
              <wp:posOffset>120650</wp:posOffset>
            </wp:positionV>
            <wp:extent cx="6388735" cy="135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  <w:b/>
          <w:bCs/>
          <w:sz w:val="56"/>
          <w:szCs w:val="56"/>
        </w:rPr>
        <w:t xml:space="preserve">Boaz </w:t>
      </w:r>
    </w:p>
    <w:p w:rsidR="00AF582C" w:rsidRDefault="00AF582C">
      <w:pPr>
        <w:rPr>
          <w:sz w:val="20"/>
          <w:szCs w:val="20"/>
        </w:rPr>
      </w:pPr>
    </w:p>
    <w:p w:rsidR="00AF582C" w:rsidRDefault="00AF582C">
      <w:pPr>
        <w:spacing w:line="235" w:lineRule="auto"/>
        <w:rPr>
          <w:rFonts w:ascii="Garamond" w:eastAsia="Garamond" w:hAnsi="Garamond" w:cs="Garamond"/>
          <w:color w:val="0000FF"/>
          <w:sz w:val="20"/>
          <w:szCs w:val="20"/>
          <w:u w:val="single"/>
        </w:rPr>
      </w:pPr>
      <w:r>
        <w:rPr>
          <w:rFonts w:ascii="Garamond" w:eastAsia="Garamond" w:hAnsi="Garamond" w:cs="Garamond"/>
          <w:sz w:val="20"/>
          <w:szCs w:val="20"/>
        </w:rPr>
        <w:t>E-mail:</w:t>
      </w:r>
      <w:r>
        <w:rPr>
          <w:rFonts w:ascii="Garamond" w:eastAsia="Garamond" w:hAnsi="Garamond" w:cs="Garamond"/>
          <w:sz w:val="20"/>
          <w:szCs w:val="20"/>
        </w:rPr>
        <w:t xml:space="preserve"> </w:t>
      </w:r>
      <w:hyperlink r:id="rId6" w:history="1">
        <w:r w:rsidRPr="00761661">
          <w:rPr>
            <w:rStyle w:val="Hyperlink"/>
            <w:rFonts w:ascii="Garamond" w:eastAsia="Garamond" w:hAnsi="Garamond" w:cs="Garamond"/>
            <w:sz w:val="20"/>
            <w:szCs w:val="20"/>
          </w:rPr>
          <w:t>boaz.381020@2freemail.com</w:t>
        </w:r>
      </w:hyperlink>
    </w:p>
    <w:p w:rsidR="00AF582C" w:rsidRDefault="00AF582C">
      <w:pPr>
        <w:spacing w:line="235" w:lineRule="auto"/>
        <w:rPr>
          <w:rFonts w:ascii="Garamond" w:eastAsia="Garamond" w:hAnsi="Garamond" w:cs="Garamond"/>
          <w:color w:val="0000FF"/>
          <w:sz w:val="20"/>
          <w:szCs w:val="20"/>
          <w:u w:val="single"/>
        </w:rPr>
      </w:pPr>
    </w:p>
    <w:p w:rsidR="009D6941" w:rsidRDefault="00AF582C">
      <w:pPr>
        <w:spacing w:line="235" w:lineRule="auto"/>
        <w:rPr>
          <w:sz w:val="20"/>
          <w:szCs w:val="20"/>
        </w:rPr>
      </w:pPr>
      <w:r>
        <w:rPr>
          <w:rFonts w:ascii="Garamond" w:eastAsia="Garamond" w:hAnsi="Garamond" w:cs="Garamond"/>
          <w:color w:val="0000FF"/>
          <w:sz w:val="20"/>
          <w:szCs w:val="20"/>
          <w:u w:val="single"/>
        </w:rPr>
        <w:t xml:space="preserve"> </w:t>
      </w:r>
    </w:p>
    <w:p w:rsidR="009D6941" w:rsidRDefault="009D6941">
      <w:pPr>
        <w:spacing w:line="47" w:lineRule="exact"/>
        <w:rPr>
          <w:sz w:val="24"/>
          <w:szCs w:val="24"/>
        </w:rPr>
      </w:pPr>
    </w:p>
    <w:p w:rsidR="009D6941" w:rsidRDefault="00AF58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-79375</wp:posOffset>
            </wp:positionH>
            <wp:positionV relativeFrom="paragraph">
              <wp:posOffset>118745</wp:posOffset>
            </wp:positionV>
            <wp:extent cx="6670040" cy="363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30" w:lineRule="exact"/>
        <w:rPr>
          <w:sz w:val="24"/>
          <w:szCs w:val="24"/>
        </w:rPr>
      </w:pPr>
    </w:p>
    <w:p w:rsidR="009D6941" w:rsidRDefault="00AF582C">
      <w:pPr>
        <w:ind w:left="10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Professional Summary</w:t>
      </w:r>
    </w:p>
    <w:p w:rsidR="009D6941" w:rsidRDefault="009D6941">
      <w:pPr>
        <w:spacing w:line="303" w:lineRule="exact"/>
        <w:rPr>
          <w:sz w:val="24"/>
          <w:szCs w:val="24"/>
        </w:rPr>
      </w:pPr>
    </w:p>
    <w:p w:rsidR="009D6941" w:rsidRDefault="00AF582C">
      <w:pPr>
        <w:spacing w:line="216" w:lineRule="auto"/>
        <w:ind w:right="13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Driven HR Manager </w:t>
      </w:r>
      <w:r>
        <w:rPr>
          <w:rFonts w:ascii="Calibri" w:eastAsia="Calibri" w:hAnsi="Calibri" w:cs="Calibri"/>
          <w:sz w:val="20"/>
          <w:szCs w:val="20"/>
        </w:rPr>
        <w:t>bringing 11 years' experience in Human Resources leadership and organizational development. Persuasive communicator and decisive team manager.</w:t>
      </w:r>
    </w:p>
    <w:p w:rsidR="009D6941" w:rsidRDefault="009D6941">
      <w:pPr>
        <w:spacing w:line="48" w:lineRule="exact"/>
        <w:rPr>
          <w:sz w:val="24"/>
          <w:szCs w:val="24"/>
        </w:rPr>
      </w:pPr>
    </w:p>
    <w:p w:rsidR="009D6941" w:rsidRDefault="00AF582C">
      <w:pPr>
        <w:spacing w:line="217" w:lineRule="auto"/>
        <w:ind w:right="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High-achieving Human Resources Manager adept at driving company growth and productivity by locating the best tal</w:t>
      </w:r>
      <w:r>
        <w:rPr>
          <w:rFonts w:ascii="Calibri" w:eastAsia="Calibri" w:hAnsi="Calibri" w:cs="Calibri"/>
          <w:sz w:val="20"/>
          <w:szCs w:val="20"/>
        </w:rPr>
        <w:t>ent and establishing effective, modern policies for the workforce.</w:t>
      </w:r>
    </w:p>
    <w:p w:rsidR="009D6941" w:rsidRDefault="009D6941">
      <w:pPr>
        <w:spacing w:line="46" w:lineRule="exact"/>
        <w:rPr>
          <w:sz w:val="24"/>
          <w:szCs w:val="24"/>
        </w:rPr>
      </w:pPr>
    </w:p>
    <w:p w:rsidR="009D6941" w:rsidRDefault="00AF582C">
      <w:pPr>
        <w:spacing w:line="217" w:lineRule="auto"/>
        <w:ind w:right="7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Multi-talented Human Resources Manager successful at streamlining costs and maximizing company profile in the job market, versed in various relevant compliance statutes.</w:t>
      </w:r>
    </w:p>
    <w:p w:rsidR="009D6941" w:rsidRDefault="00AF58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673215" cy="2434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5" cy="243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41" w:lineRule="exact"/>
        <w:rPr>
          <w:sz w:val="24"/>
          <w:szCs w:val="24"/>
        </w:rPr>
      </w:pPr>
    </w:p>
    <w:p w:rsidR="009D6941" w:rsidRDefault="00AF582C">
      <w:pPr>
        <w:ind w:left="8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Skills</w:t>
      </w:r>
    </w:p>
    <w:p w:rsidR="009D6941" w:rsidRDefault="009D6941">
      <w:pPr>
        <w:spacing w:line="57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960"/>
        <w:gridCol w:w="660"/>
        <w:gridCol w:w="4440"/>
      </w:tblGrid>
      <w:tr w:rsidR="009D6941">
        <w:trPr>
          <w:trHeight w:val="476"/>
        </w:trPr>
        <w:tc>
          <w:tcPr>
            <w:tcW w:w="260" w:type="dxa"/>
            <w:vAlign w:val="bottom"/>
          </w:tcPr>
          <w:p w:rsidR="009D6941" w:rsidRDefault="00AF582C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</w:p>
        </w:tc>
        <w:tc>
          <w:tcPr>
            <w:tcW w:w="3960" w:type="dxa"/>
            <w:vAlign w:val="bottom"/>
          </w:tcPr>
          <w:p w:rsidR="009D6941" w:rsidRDefault="00AF58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Compensation structuring</w:t>
            </w:r>
          </w:p>
        </w:tc>
        <w:tc>
          <w:tcPr>
            <w:tcW w:w="5100" w:type="dxa"/>
            <w:gridSpan w:val="2"/>
            <w:vAlign w:val="bottom"/>
          </w:tcPr>
          <w:p w:rsidR="009D6941" w:rsidRDefault="00AF582C">
            <w:pPr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Literacy on several Human Resources Software (HRIS)</w:t>
            </w:r>
          </w:p>
        </w:tc>
      </w:tr>
      <w:tr w:rsidR="009D6941">
        <w:trPr>
          <w:trHeight w:val="227"/>
        </w:trPr>
        <w:tc>
          <w:tcPr>
            <w:tcW w:w="260" w:type="dxa"/>
            <w:vAlign w:val="bottom"/>
          </w:tcPr>
          <w:p w:rsidR="009D6941" w:rsidRDefault="00AF582C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3960" w:type="dxa"/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Equal opportunities facilitation</w:t>
            </w:r>
          </w:p>
        </w:tc>
        <w:tc>
          <w:tcPr>
            <w:tcW w:w="660" w:type="dxa"/>
            <w:vAlign w:val="bottom"/>
          </w:tcPr>
          <w:p w:rsidR="009D6941" w:rsidRDefault="00AF582C">
            <w:pPr>
              <w:spacing w:line="13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4440" w:type="dxa"/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Workforce improvements</w:t>
            </w:r>
          </w:p>
        </w:tc>
      </w:tr>
      <w:tr w:rsidR="009D6941">
        <w:trPr>
          <w:trHeight w:val="261"/>
        </w:trPr>
        <w:tc>
          <w:tcPr>
            <w:tcW w:w="4220" w:type="dxa"/>
            <w:gridSpan w:val="2"/>
            <w:vAlign w:val="bottom"/>
          </w:tcPr>
          <w:p w:rsidR="009D6941" w:rsidRDefault="00AF582C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Security skills, handling the security team</w:t>
            </w:r>
          </w:p>
        </w:tc>
        <w:tc>
          <w:tcPr>
            <w:tcW w:w="660" w:type="dxa"/>
            <w:vAlign w:val="bottom"/>
          </w:tcPr>
          <w:p w:rsidR="009D6941" w:rsidRDefault="00AF582C">
            <w:pPr>
              <w:spacing w:line="155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4440" w:type="dxa"/>
            <w:vAlign w:val="bottom"/>
          </w:tcPr>
          <w:p w:rsidR="009D6941" w:rsidRDefault="00AF582C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Company organization</w:t>
            </w:r>
          </w:p>
        </w:tc>
      </w:tr>
      <w:tr w:rsidR="009D6941">
        <w:trPr>
          <w:trHeight w:val="245"/>
        </w:trPr>
        <w:tc>
          <w:tcPr>
            <w:tcW w:w="4220" w:type="dxa"/>
            <w:gridSpan w:val="2"/>
            <w:vAlign w:val="bottom"/>
          </w:tcPr>
          <w:p w:rsidR="009D6941" w:rsidRDefault="00AF582C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Managing team including relieving the GM</w:t>
            </w:r>
          </w:p>
        </w:tc>
        <w:tc>
          <w:tcPr>
            <w:tcW w:w="660" w:type="dxa"/>
            <w:vAlign w:val="bottom"/>
          </w:tcPr>
          <w:p w:rsidR="009D6941" w:rsidRDefault="00AF582C">
            <w:pPr>
              <w:spacing w:line="13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4440" w:type="dxa"/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 Resources Certification</w:t>
            </w:r>
          </w:p>
        </w:tc>
      </w:tr>
      <w:tr w:rsidR="009D6941">
        <w:trPr>
          <w:trHeight w:val="242"/>
        </w:trPr>
        <w:tc>
          <w:tcPr>
            <w:tcW w:w="260" w:type="dxa"/>
            <w:vAlign w:val="bottom"/>
          </w:tcPr>
          <w:p w:rsidR="009D6941" w:rsidRDefault="00AF582C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3960" w:type="dxa"/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Recruitment strategies</w:t>
            </w:r>
          </w:p>
        </w:tc>
        <w:tc>
          <w:tcPr>
            <w:tcW w:w="5100" w:type="dxa"/>
            <w:gridSpan w:val="2"/>
            <w:vAlign w:val="bottom"/>
          </w:tcPr>
          <w:p w:rsidR="009D6941" w:rsidRDefault="00AF582C">
            <w:pPr>
              <w:spacing w:line="243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5"/>
                <w:szCs w:val="15"/>
              </w:rPr>
              <w:t xml:space="preserve"> Team building and Staff Activities</w:t>
            </w:r>
          </w:p>
        </w:tc>
      </w:tr>
      <w:tr w:rsidR="009D6941">
        <w:trPr>
          <w:trHeight w:val="227"/>
        </w:trPr>
        <w:tc>
          <w:tcPr>
            <w:tcW w:w="260" w:type="dxa"/>
            <w:vAlign w:val="bottom"/>
          </w:tcPr>
          <w:p w:rsidR="009D6941" w:rsidRDefault="00AF582C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3960" w:type="dxa"/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Termination procedures</w:t>
            </w:r>
          </w:p>
        </w:tc>
        <w:tc>
          <w:tcPr>
            <w:tcW w:w="660" w:type="dxa"/>
            <w:vAlign w:val="bottom"/>
          </w:tcPr>
          <w:p w:rsidR="009D6941" w:rsidRDefault="00AF582C">
            <w:pPr>
              <w:spacing w:line="13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4440" w:type="dxa"/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Training programs</w:t>
            </w:r>
          </w:p>
        </w:tc>
      </w:tr>
      <w:tr w:rsidR="009D6941">
        <w:trPr>
          <w:trHeight w:val="263"/>
        </w:trPr>
        <w:tc>
          <w:tcPr>
            <w:tcW w:w="260" w:type="dxa"/>
            <w:vAlign w:val="bottom"/>
          </w:tcPr>
          <w:p w:rsidR="009D6941" w:rsidRDefault="00AF582C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3960" w:type="dxa"/>
            <w:vAlign w:val="bottom"/>
          </w:tcPr>
          <w:p w:rsidR="009D6941" w:rsidRDefault="00AF58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MS Office proficient</w:t>
            </w:r>
          </w:p>
        </w:tc>
        <w:tc>
          <w:tcPr>
            <w:tcW w:w="5100" w:type="dxa"/>
            <w:gridSpan w:val="2"/>
            <w:vAlign w:val="bottom"/>
          </w:tcPr>
          <w:p w:rsidR="009D6941" w:rsidRDefault="00AF582C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  <w:vertAlign w:val="superscript"/>
              </w:rPr>
              <w:t>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Compensation and benefits administration</w:t>
            </w:r>
          </w:p>
        </w:tc>
      </w:tr>
      <w:tr w:rsidR="009D6941">
        <w:trPr>
          <w:trHeight w:val="227"/>
        </w:trPr>
        <w:tc>
          <w:tcPr>
            <w:tcW w:w="260" w:type="dxa"/>
            <w:vAlign w:val="bottom"/>
          </w:tcPr>
          <w:p w:rsidR="009D6941" w:rsidRDefault="00AF582C">
            <w:pPr>
              <w:spacing w:line="13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3960" w:type="dxa"/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Payroll coordination</w:t>
            </w:r>
          </w:p>
        </w:tc>
        <w:tc>
          <w:tcPr>
            <w:tcW w:w="660" w:type="dxa"/>
            <w:vAlign w:val="bottom"/>
          </w:tcPr>
          <w:p w:rsidR="009D6941" w:rsidRDefault="00AF582C">
            <w:pPr>
              <w:spacing w:line="139" w:lineRule="exact"/>
              <w:ind w:left="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</w:t>
            </w:r>
          </w:p>
        </w:tc>
        <w:tc>
          <w:tcPr>
            <w:tcW w:w="4440" w:type="dxa"/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Business mediation</w:t>
            </w:r>
          </w:p>
        </w:tc>
      </w:tr>
    </w:tbl>
    <w:p w:rsidR="009D6941" w:rsidRDefault="009D6941">
      <w:pPr>
        <w:spacing w:line="12" w:lineRule="exact"/>
        <w:rPr>
          <w:sz w:val="24"/>
          <w:szCs w:val="24"/>
        </w:rPr>
      </w:pPr>
    </w:p>
    <w:p w:rsidR="009D6941" w:rsidRDefault="00AF582C">
      <w:pPr>
        <w:ind w:left="8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Experience History</w:t>
      </w:r>
    </w:p>
    <w:p w:rsidR="009D6941" w:rsidRDefault="009D6941">
      <w:pPr>
        <w:spacing w:line="214" w:lineRule="exact"/>
        <w:rPr>
          <w:sz w:val="24"/>
          <w:szCs w:val="24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February 2016 to Presently</w:t>
      </w:r>
    </w:p>
    <w:p w:rsidR="009D6941" w:rsidRDefault="009D6941">
      <w:pPr>
        <w:spacing w:line="11" w:lineRule="exact"/>
        <w:rPr>
          <w:sz w:val="24"/>
          <w:szCs w:val="24"/>
        </w:rPr>
      </w:pPr>
    </w:p>
    <w:p w:rsidR="009D6941" w:rsidRDefault="00AF582C">
      <w:pPr>
        <w:spacing w:line="233" w:lineRule="auto"/>
        <w:ind w:right="5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ibis Styles Jumeirah Dubai, Accor Group – Dubai, UAE Human Resources Manager – Head of the Department</w:t>
      </w:r>
    </w:p>
    <w:p w:rsidR="009D6941" w:rsidRDefault="009D6941">
      <w:pPr>
        <w:spacing w:line="47" w:lineRule="exact"/>
        <w:rPr>
          <w:sz w:val="24"/>
          <w:szCs w:val="24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Leading, guiding and managing the entire functions of Human Resources</w:t>
      </w:r>
    </w:p>
    <w:p w:rsidR="009D6941" w:rsidRDefault="009D6941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Maintains the work structure by </w:t>
      </w:r>
      <w:r>
        <w:rPr>
          <w:rFonts w:ascii="Calibri" w:eastAsia="Calibri" w:hAnsi="Calibri" w:cs="Calibri"/>
          <w:sz w:val="14"/>
          <w:szCs w:val="14"/>
        </w:rPr>
        <w:t>updating job requirements and job descriptions for all positions.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Maintains organization staff by establishing a recruiting, testing, and interviewing program.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Counseling managers on candidate selection, conducting and analyzing exit interviews.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Prepare</w:t>
      </w:r>
      <w:r>
        <w:rPr>
          <w:rFonts w:ascii="Calibri" w:eastAsia="Calibri" w:hAnsi="Calibri" w:cs="Calibri"/>
          <w:sz w:val="14"/>
          <w:szCs w:val="14"/>
        </w:rPr>
        <w:t>s employees for assignments by establishing and conducting orientation, training programs.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Maintains a pay plan by conducting periodic pay surveys, scheduling, conducting job evaluations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pay budgets, monitoring and scheduling individual pay act</w:t>
      </w:r>
      <w:r>
        <w:rPr>
          <w:rFonts w:ascii="Calibri" w:eastAsia="Calibri" w:hAnsi="Calibri" w:cs="Calibri"/>
          <w:sz w:val="14"/>
          <w:szCs w:val="14"/>
        </w:rPr>
        <w:t>ions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Recommending, planning, and implementing pay structure revisions.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8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Ensures planning, monitoring, and appraisal of employee work results by training managers to coach and discipline employees, scheduling management conferences with employees, hearing </w:t>
      </w:r>
      <w:r>
        <w:rPr>
          <w:rFonts w:ascii="Calibri" w:eastAsia="Calibri" w:hAnsi="Calibri" w:cs="Calibri"/>
          <w:sz w:val="19"/>
          <w:szCs w:val="19"/>
        </w:rPr>
        <w:t>and resolving employee grievances, counseling employees and supervisors.</w:t>
      </w:r>
    </w:p>
    <w:p w:rsidR="009D6941" w:rsidRDefault="009D6941">
      <w:pPr>
        <w:spacing w:line="4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9" w:lineRule="auto"/>
        <w:ind w:left="720" w:right="7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 xml:space="preserve">Maintains employee benefits programs and informs employees of benefits by studying and assessing benefit needs and trends, recommending benefit programs to management, directing the </w:t>
      </w:r>
      <w:r>
        <w:rPr>
          <w:rFonts w:ascii="Calibri" w:eastAsia="Calibri" w:hAnsi="Calibri" w:cs="Calibri"/>
          <w:sz w:val="20"/>
          <w:szCs w:val="20"/>
        </w:rPr>
        <w:t>processing of benefit claims, obtaining and evaluating benefit contract bids, awarding benefit contracts, designing and conducting educational programs on benefit programs.</w:t>
      </w:r>
    </w:p>
    <w:p w:rsidR="009D6941" w:rsidRDefault="009D6941">
      <w:pPr>
        <w:spacing w:line="50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ind w:left="720" w:right="8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Ensures legal compliance by monitoring and implementing applicable human resource </w:t>
      </w:r>
      <w:r>
        <w:rPr>
          <w:rFonts w:ascii="Calibri" w:eastAsia="Calibri" w:hAnsi="Calibri" w:cs="Calibri"/>
          <w:sz w:val="19"/>
          <w:szCs w:val="19"/>
        </w:rPr>
        <w:t>federal and state requirements, conducting investigations, maintaining records, representing the organization at hearings.</w:t>
      </w:r>
    </w:p>
    <w:p w:rsidR="009D6941" w:rsidRDefault="009D6941">
      <w:pPr>
        <w:spacing w:line="3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Maintains management guidelines; updating, recommending HR policies and procedures.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Maintains historical human resource records by </w:t>
      </w:r>
      <w:r>
        <w:rPr>
          <w:rFonts w:ascii="Calibri" w:eastAsia="Calibri" w:hAnsi="Calibri" w:cs="Calibri"/>
          <w:sz w:val="14"/>
          <w:szCs w:val="14"/>
        </w:rPr>
        <w:t>designing a filing and retrieval system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1"/>
        </w:numPr>
        <w:tabs>
          <w:tab w:val="left" w:pos="720"/>
        </w:tabs>
        <w:spacing w:line="181" w:lineRule="auto"/>
        <w:ind w:left="720" w:right="11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Maintains Human Resource staff job results by counseling and disciplining employees, planning, monitoring, and appraising job results.</w:t>
      </w:r>
    </w:p>
    <w:p w:rsidR="009D6941" w:rsidRDefault="00AF582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75565</wp:posOffset>
            </wp:positionH>
            <wp:positionV relativeFrom="paragraph">
              <wp:posOffset>97790</wp:posOffset>
            </wp:positionV>
            <wp:extent cx="6286500" cy="22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ectPr w:rsidR="009D6941">
          <w:pgSz w:w="11900" w:h="16838"/>
          <w:pgMar w:top="718" w:right="786" w:bottom="1440" w:left="1440" w:header="0" w:footer="0" w:gutter="0"/>
          <w:cols w:space="720" w:equalWidth="0">
            <w:col w:w="9680"/>
          </w:cols>
        </w:sectPr>
      </w:pP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4829175</wp:posOffset>
            </wp:positionH>
            <wp:positionV relativeFrom="paragraph">
              <wp:posOffset>262890</wp:posOffset>
            </wp:positionV>
            <wp:extent cx="530860" cy="530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00" w:lineRule="exact"/>
        <w:rPr>
          <w:sz w:val="20"/>
          <w:szCs w:val="20"/>
        </w:rPr>
      </w:pPr>
    </w:p>
    <w:p w:rsidR="009D6941" w:rsidRDefault="009D6941">
      <w:pPr>
        <w:spacing w:line="276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January 2015 to February 2016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5395595</wp:posOffset>
            </wp:positionH>
            <wp:positionV relativeFrom="paragraph">
              <wp:posOffset>-92075</wp:posOffset>
            </wp:positionV>
            <wp:extent cx="726440" cy="2946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AF582C">
      <w:pPr>
        <w:spacing w:line="233" w:lineRule="auto"/>
        <w:ind w:right="388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ibis Styles Jumeirah Dubai, Accor Group – Dubai, UAE Assistant Hum</w:t>
      </w:r>
      <w:r>
        <w:rPr>
          <w:rFonts w:eastAsia="Times New Roman"/>
          <w:sz w:val="20"/>
          <w:szCs w:val="20"/>
        </w:rPr>
        <w:t>an Resources Manager – Head of the Department</w:t>
      </w:r>
    </w:p>
    <w:p w:rsidR="009D6941" w:rsidRDefault="009D6941">
      <w:pPr>
        <w:spacing w:line="47" w:lineRule="exact"/>
        <w:rPr>
          <w:sz w:val="20"/>
          <w:szCs w:val="20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Setting Up the HR Department from the scratch</w:t>
      </w:r>
    </w:p>
    <w:p w:rsidR="009D6941" w:rsidRDefault="009D6941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Preparing of all the Policies and Procedures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Recruitment and Coaching of the General Manager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Recruitment of Heads of departments and the entire staff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Established basic personnel standards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Ensured that all employees are covered by Medical Health and Life Insurance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Ensured that the HR operational policies and processes are adhered to and continually improved.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866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Driven and lead in all activities concernin</w:t>
      </w:r>
      <w:r>
        <w:rPr>
          <w:rFonts w:ascii="Calibri" w:eastAsia="Calibri" w:hAnsi="Calibri" w:cs="Calibri"/>
          <w:sz w:val="18"/>
          <w:szCs w:val="18"/>
        </w:rPr>
        <w:t>g the sourcing &amp; recruitment of staff, performance management, staff discipline and HR administration.</w:t>
      </w: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Coordinated all matters of employee work permits and visas.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Coordinated and / or conducted departmental training and, new hire hotel orientation program</w:t>
      </w:r>
      <w:r>
        <w:rPr>
          <w:rFonts w:ascii="Calibri" w:eastAsia="Calibri" w:hAnsi="Calibri" w:cs="Calibri"/>
          <w:sz w:val="14"/>
          <w:szCs w:val="14"/>
        </w:rPr>
        <w:t>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Implemented corporate policies and procedures on compensation, incentive, bonus and benefits.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Continually assesses employee morale by analyzing attendance and turnover records.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706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Coordinate and oversee all matters related to staff accommodation, </w:t>
      </w:r>
      <w:r>
        <w:rPr>
          <w:rFonts w:ascii="Calibri" w:eastAsia="Calibri" w:hAnsi="Calibri" w:cs="Calibri"/>
          <w:sz w:val="18"/>
          <w:szCs w:val="18"/>
        </w:rPr>
        <w:t>facilities, Staff Meals and transportation.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-95250</wp:posOffset>
            </wp:positionH>
            <wp:positionV relativeFrom="paragraph">
              <wp:posOffset>9525</wp:posOffset>
            </wp:positionV>
            <wp:extent cx="6322695" cy="6553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69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24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December 2013 to January 2015</w:t>
      </w:r>
    </w:p>
    <w:p w:rsidR="009D6941" w:rsidRDefault="00AF582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The Address Dubai Mall, The Address Hotels and Resorts</w:t>
      </w:r>
    </w:p>
    <w:p w:rsidR="009D6941" w:rsidRDefault="009D6941">
      <w:pPr>
        <w:spacing w:line="1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Emaar Hospitality Group – Dubai, UAE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Human Resources Officer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6350</wp:posOffset>
            </wp:positionV>
            <wp:extent cx="6287770" cy="6134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77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11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July 2012 to December 2013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Armani Hotels and Resorts, The E</w:t>
      </w:r>
      <w:r>
        <w:rPr>
          <w:rFonts w:eastAsia="Times New Roman"/>
          <w:sz w:val="20"/>
          <w:szCs w:val="20"/>
        </w:rPr>
        <w:t>maar- Georgio Armani Partnership</w:t>
      </w:r>
    </w:p>
    <w:p w:rsidR="009D6941" w:rsidRDefault="00AF582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Human Resources Executive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-98425</wp:posOffset>
            </wp:positionH>
            <wp:positionV relativeFrom="paragraph">
              <wp:posOffset>60325</wp:posOffset>
            </wp:positionV>
            <wp:extent cx="6304915" cy="6877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12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September 2011 to July 2012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Manzil Downtown Dubai &amp; Vida Downtown Dubai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Vida Hotels and Resorts, Emaar Hospitality Group – Dubai, UAE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Recruitment Officer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3562985</wp:posOffset>
            </wp:positionH>
            <wp:positionV relativeFrom="paragraph">
              <wp:posOffset>119380</wp:posOffset>
            </wp:positionV>
            <wp:extent cx="2644775" cy="4737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26670</wp:posOffset>
            </wp:positionV>
            <wp:extent cx="6286500" cy="22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28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May 2010 to September 2011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Manzil</w:t>
      </w:r>
      <w:r>
        <w:rPr>
          <w:rFonts w:eastAsia="Times New Roman"/>
          <w:sz w:val="20"/>
          <w:szCs w:val="20"/>
        </w:rPr>
        <w:t xml:space="preserve"> Hotel &amp; Qamardeen Hotel, Tsogo Sun – Dubai, UAE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Human Resources Coordinator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3557905</wp:posOffset>
            </wp:positionH>
            <wp:positionV relativeFrom="paragraph">
              <wp:posOffset>109220</wp:posOffset>
            </wp:positionV>
            <wp:extent cx="1726565" cy="4679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-99060</wp:posOffset>
            </wp:positionH>
            <wp:positionV relativeFrom="paragraph">
              <wp:posOffset>33020</wp:posOffset>
            </wp:positionV>
            <wp:extent cx="6286500" cy="22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08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October 2008 to May 2010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5304155</wp:posOffset>
            </wp:positionH>
            <wp:positionV relativeFrom="paragraph">
              <wp:posOffset>-110490</wp:posOffset>
            </wp:positionV>
            <wp:extent cx="904875" cy="3473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Manzil Hotel &amp; Qamardeen Hotel, Tsogo Sun – Dubai, UAE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Staff Accommodation Supervisor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25400</wp:posOffset>
            </wp:positionV>
            <wp:extent cx="6303010" cy="527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11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October 2007 to October 2008</w:t>
      </w:r>
    </w:p>
    <w:p w:rsidR="009D6941" w:rsidRDefault="00AF582C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Manzil Hotel &amp; Qamardeen</w:t>
      </w:r>
      <w:r>
        <w:rPr>
          <w:rFonts w:eastAsia="Times New Roman"/>
          <w:sz w:val="20"/>
          <w:szCs w:val="20"/>
        </w:rPr>
        <w:t xml:space="preserve"> Hotel, Southern Sun – Dubai, UAE</w:t>
      </w:r>
    </w:p>
    <w:p w:rsidR="009D6941" w:rsidRDefault="009D6941">
      <w:pPr>
        <w:spacing w:line="2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Human Resources Administrator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67945</wp:posOffset>
            </wp:positionV>
            <wp:extent cx="6286500" cy="222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11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June 2007 to October 2007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3576955</wp:posOffset>
            </wp:positionH>
            <wp:positionV relativeFrom="paragraph">
              <wp:posOffset>-135890</wp:posOffset>
            </wp:positionV>
            <wp:extent cx="2671445" cy="4362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Al Manzil Hotel &amp; Qamardeen Hotel, Southern Sun – Dubai, UAE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Information Technology Intern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54610</wp:posOffset>
            </wp:positionV>
            <wp:extent cx="6286500" cy="222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08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December 2006 to June 2007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-63500</wp:posOffset>
            </wp:positionV>
            <wp:extent cx="6354445" cy="4413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Qamardeen Hotel, Southern Sun – Dubai</w:t>
      </w:r>
      <w:r>
        <w:rPr>
          <w:rFonts w:eastAsia="Times New Roman"/>
          <w:sz w:val="20"/>
          <w:szCs w:val="20"/>
        </w:rPr>
        <w:t>, UAE</w:t>
      </w:r>
    </w:p>
    <w:p w:rsidR="009D6941" w:rsidRDefault="00AF582C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Guest Service Agent</w:t>
      </w:r>
    </w:p>
    <w:p w:rsidR="009D6941" w:rsidRDefault="009D6941">
      <w:pPr>
        <w:sectPr w:rsidR="009D6941">
          <w:pgSz w:w="11900" w:h="16838"/>
          <w:pgMar w:top="718" w:right="1440" w:bottom="1440" w:left="1440" w:header="0" w:footer="0" w:gutter="0"/>
          <w:cols w:space="720" w:equalWidth="0">
            <w:col w:w="9026"/>
          </w:cols>
        </w:sectPr>
      </w:pP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120650</wp:posOffset>
            </wp:positionV>
            <wp:extent cx="6670040" cy="36385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235" w:lineRule="exact"/>
        <w:rPr>
          <w:sz w:val="20"/>
          <w:szCs w:val="20"/>
        </w:rPr>
      </w:pPr>
    </w:p>
    <w:p w:rsidR="009D6941" w:rsidRDefault="00AF582C">
      <w:pPr>
        <w:ind w:left="30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Education</w:t>
      </w:r>
    </w:p>
    <w:p w:rsidR="009D6941" w:rsidRDefault="009D6941">
      <w:pPr>
        <w:sectPr w:rsidR="009D6941">
          <w:pgSz w:w="11900" w:h="16838"/>
          <w:pgMar w:top="718" w:right="746" w:bottom="762" w:left="1160" w:header="0" w:footer="0" w:gutter="0"/>
          <w:cols w:space="720" w:equalWidth="0">
            <w:col w:w="10000"/>
          </w:cols>
        </w:sectPr>
      </w:pPr>
    </w:p>
    <w:p w:rsidR="009D6941" w:rsidRDefault="009D6941">
      <w:pPr>
        <w:spacing w:line="299" w:lineRule="exact"/>
        <w:rPr>
          <w:sz w:val="20"/>
          <w:szCs w:val="20"/>
        </w:rPr>
      </w:pPr>
    </w:p>
    <w:p w:rsidR="009D6941" w:rsidRDefault="00AF582C">
      <w:pPr>
        <w:spacing w:line="236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Diploma Grade Institution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6941" w:rsidRDefault="009D6941">
      <w:pPr>
        <w:spacing w:line="244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: Human Resources and Personnel Management </w:t>
      </w:r>
      <w:r>
        <w:rPr>
          <w:rFonts w:ascii="Calibri" w:eastAsia="Calibri" w:hAnsi="Calibri" w:cs="Calibri"/>
          <w:b/>
          <w:bCs/>
          <w:sz w:val="19"/>
          <w:szCs w:val="19"/>
        </w:rPr>
        <w:t>(March, 2007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–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February 2009)</w:t>
      </w:r>
    </w:p>
    <w:p w:rsidR="009D6941" w:rsidRDefault="00AF582C">
      <w:pPr>
        <w:spacing w:line="238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: High Merit</w:t>
      </w:r>
    </w:p>
    <w:p w:rsidR="009D6941" w:rsidRDefault="009D6941">
      <w:pPr>
        <w:spacing w:line="1" w:lineRule="exact"/>
        <w:rPr>
          <w:sz w:val="20"/>
          <w:szCs w:val="20"/>
        </w:rPr>
      </w:pPr>
    </w:p>
    <w:p w:rsidR="009D6941" w:rsidRDefault="00AF58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: Cambridge International College, United Kingdom</w:t>
      </w:r>
    </w:p>
    <w:p w:rsidR="009D6941" w:rsidRDefault="009D6941">
      <w:pPr>
        <w:spacing w:line="200" w:lineRule="exact"/>
        <w:rPr>
          <w:sz w:val="20"/>
          <w:szCs w:val="20"/>
        </w:rPr>
      </w:pPr>
    </w:p>
    <w:p w:rsidR="009D6941" w:rsidRDefault="009D6941">
      <w:pPr>
        <w:sectPr w:rsidR="009D6941">
          <w:type w:val="continuous"/>
          <w:pgSz w:w="11900" w:h="16838"/>
          <w:pgMar w:top="718" w:right="746" w:bottom="762" w:left="1160" w:header="0" w:footer="0" w:gutter="0"/>
          <w:cols w:num="2" w:space="720" w:equalWidth="0">
            <w:col w:w="1120" w:space="300"/>
            <w:col w:w="8580"/>
          </w:cols>
        </w:sectPr>
      </w:pPr>
    </w:p>
    <w:p w:rsidR="009D6941" w:rsidRDefault="009D6941">
      <w:pPr>
        <w:spacing w:line="90" w:lineRule="exact"/>
        <w:rPr>
          <w:sz w:val="20"/>
          <w:szCs w:val="20"/>
        </w:rPr>
      </w:pPr>
    </w:p>
    <w:p w:rsidR="009D6941" w:rsidRDefault="00AF582C">
      <w:pPr>
        <w:spacing w:line="228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Diploma Institution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D6941" w:rsidRDefault="009D6941">
      <w:pPr>
        <w:spacing w:line="35" w:lineRule="exact"/>
        <w:rPr>
          <w:sz w:val="20"/>
          <w:szCs w:val="20"/>
        </w:rPr>
      </w:pPr>
    </w:p>
    <w:p w:rsidR="009D6941" w:rsidRDefault="00AF582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: Hotel Management – </w:t>
      </w:r>
      <w:r>
        <w:rPr>
          <w:rFonts w:ascii="Calibri" w:eastAsia="Calibri" w:hAnsi="Calibri" w:cs="Calibri"/>
          <w:b/>
          <w:bCs/>
          <w:sz w:val="19"/>
          <w:szCs w:val="19"/>
        </w:rPr>
        <w:t>(April 2003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–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Sept 2004)</w:t>
      </w:r>
    </w:p>
    <w:p w:rsidR="009D6941" w:rsidRDefault="009D6941">
      <w:pPr>
        <w:spacing w:line="1" w:lineRule="exact"/>
        <w:rPr>
          <w:sz w:val="20"/>
          <w:szCs w:val="20"/>
        </w:rPr>
      </w:pPr>
    </w:p>
    <w:p w:rsidR="009D6941" w:rsidRDefault="00AF582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: Kenya Polytechnic, Nairobi, Kenya</w:t>
      </w:r>
    </w:p>
    <w:p w:rsidR="009D6941" w:rsidRDefault="009D6941">
      <w:pPr>
        <w:spacing w:line="200" w:lineRule="exact"/>
        <w:rPr>
          <w:sz w:val="20"/>
          <w:szCs w:val="20"/>
        </w:rPr>
      </w:pPr>
    </w:p>
    <w:p w:rsidR="009D6941" w:rsidRDefault="009D6941">
      <w:pPr>
        <w:sectPr w:rsidR="009D6941">
          <w:type w:val="continuous"/>
          <w:pgSz w:w="11900" w:h="16838"/>
          <w:pgMar w:top="718" w:right="746" w:bottom="762" w:left="1160" w:header="0" w:footer="0" w:gutter="0"/>
          <w:cols w:num="2" w:space="720" w:equalWidth="0">
            <w:col w:w="1120" w:space="280"/>
            <w:col w:w="8600"/>
          </w:cols>
        </w:sectPr>
      </w:pPr>
    </w:p>
    <w:p w:rsidR="009D6941" w:rsidRDefault="009D6941">
      <w:pPr>
        <w:spacing w:line="45" w:lineRule="exact"/>
        <w:rPr>
          <w:sz w:val="20"/>
          <w:szCs w:val="20"/>
        </w:rPr>
      </w:pPr>
    </w:p>
    <w:p w:rsidR="009D6941" w:rsidRDefault="00AF582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Higher Secondary: St. Dominic Savio’s Secondary, Kenya Certificate of Secondary Education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-23495</wp:posOffset>
            </wp:positionV>
            <wp:extent cx="6670040" cy="36385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4" w:lineRule="exact"/>
        <w:rPr>
          <w:sz w:val="20"/>
          <w:szCs w:val="20"/>
        </w:rPr>
      </w:pPr>
    </w:p>
    <w:p w:rsidR="009D6941" w:rsidRDefault="00AF582C">
      <w:pPr>
        <w:ind w:left="30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Achievements and Accomplishments</w:t>
      </w:r>
    </w:p>
    <w:p w:rsidR="009D6941" w:rsidRDefault="009D6941">
      <w:pPr>
        <w:spacing w:line="28" w:lineRule="exact"/>
        <w:rPr>
          <w:sz w:val="20"/>
          <w:szCs w:val="20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ind w:left="10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Developed and</w:t>
      </w:r>
      <w:r>
        <w:rPr>
          <w:rFonts w:ascii="Calibri" w:eastAsia="Calibri" w:hAnsi="Calibri" w:cs="Calibri"/>
          <w:sz w:val="20"/>
          <w:szCs w:val="20"/>
        </w:rPr>
        <w:t xml:space="preserve"> facilitated meetings to address discipline, code of conduct, policy and benefits issues.</w:t>
      </w:r>
    </w:p>
    <w:p w:rsidR="009D6941" w:rsidRDefault="009D6941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Transformed staff transportation with results of a minimum of 10k dirhams monthly savings.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1" w:lineRule="auto"/>
        <w:ind w:left="1000" w:right="124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 xml:space="preserve">Transformed staff meals from with results of a minimum of 5k dirhams </w:t>
      </w:r>
      <w:r>
        <w:rPr>
          <w:rFonts w:ascii="Calibri" w:eastAsia="Calibri" w:hAnsi="Calibri" w:cs="Calibri"/>
          <w:sz w:val="18"/>
          <w:szCs w:val="18"/>
        </w:rPr>
        <w:t>monthly savings with an improved food quality and the high rated of employees satisfactions.</w:t>
      </w: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Negotiated salary offers and sign-on bonuses annually at the exempt level.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Introduced the first formal performance review program, creating a flexible tool used i</w:t>
      </w:r>
      <w:r>
        <w:rPr>
          <w:rFonts w:ascii="Calibri" w:eastAsia="Calibri" w:hAnsi="Calibri" w:cs="Calibri"/>
          <w:sz w:val="14"/>
          <w:szCs w:val="14"/>
        </w:rPr>
        <w:t>n HR.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1" w:lineRule="auto"/>
        <w:ind w:left="1000" w:right="9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Interviewed, hired and trained team of four direct reports, increasing department productivity and client acquisition rates.</w:t>
      </w:r>
    </w:p>
    <w:p w:rsidR="009D6941" w:rsidRDefault="009D6941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0" w:lineRule="auto"/>
        <w:ind w:left="1000" w:right="94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 have set a Microsoft Excel to develop HR inventory tracking spreadsheets and HR cores as back up for any system failure o</w:t>
      </w:r>
      <w:r>
        <w:rPr>
          <w:rFonts w:ascii="Calibri" w:eastAsia="Calibri" w:hAnsi="Calibri" w:cs="Calibri"/>
          <w:sz w:val="18"/>
          <w:szCs w:val="18"/>
        </w:rPr>
        <w:t>r fault.</w:t>
      </w:r>
    </w:p>
    <w:p w:rsidR="009D6941" w:rsidRDefault="009D6941">
      <w:pPr>
        <w:spacing w:line="47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1" w:lineRule="auto"/>
        <w:ind w:left="1000" w:right="70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Streamlined attendance from manual to electronic (biometric) that improved the payroll accuracy and efficient to both Human Resources and the Departmental levels.</w:t>
      </w: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2" w:lineRule="auto"/>
        <w:ind w:left="100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I have built a strong network with the Government Authorities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I have successfully </w:t>
      </w:r>
      <w:r>
        <w:rPr>
          <w:rFonts w:ascii="Calibri" w:eastAsia="Calibri" w:hAnsi="Calibri" w:cs="Calibri"/>
          <w:sz w:val="14"/>
          <w:szCs w:val="14"/>
        </w:rPr>
        <w:t>handled and managed two full phases of the Staff Accommodation movements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3"/>
        </w:numPr>
        <w:tabs>
          <w:tab w:val="left" w:pos="1000"/>
        </w:tabs>
        <w:spacing w:line="181" w:lineRule="auto"/>
        <w:ind w:left="1000" w:right="88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Initiated an internship program that resulted to half a year payroll reduction for at least 10 rank and file employees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41275</wp:posOffset>
            </wp:positionH>
            <wp:positionV relativeFrom="paragraph">
              <wp:posOffset>-22225</wp:posOffset>
            </wp:positionV>
            <wp:extent cx="6670040" cy="3638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10" w:lineRule="exact"/>
        <w:rPr>
          <w:sz w:val="20"/>
          <w:szCs w:val="20"/>
        </w:rPr>
      </w:pPr>
    </w:p>
    <w:p w:rsidR="009D6941" w:rsidRDefault="00AF582C">
      <w:pPr>
        <w:ind w:left="28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Certifications</w:t>
      </w:r>
    </w:p>
    <w:p w:rsidR="009D6941" w:rsidRDefault="009D6941">
      <w:pPr>
        <w:spacing w:line="23" w:lineRule="exact"/>
        <w:rPr>
          <w:sz w:val="20"/>
          <w:szCs w:val="20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ind w:left="10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Certified HACCAP Awareness – Apex Food Consu</w:t>
      </w:r>
      <w:r>
        <w:rPr>
          <w:rFonts w:ascii="Calibri" w:eastAsia="Calibri" w:hAnsi="Calibri" w:cs="Calibri"/>
          <w:sz w:val="20"/>
          <w:szCs w:val="20"/>
        </w:rPr>
        <w:t>ltants</w:t>
      </w:r>
    </w:p>
    <w:p w:rsidR="009D6941" w:rsidRDefault="009D6941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Certified First Aider – Medic First Aid, Approved by the Dubai Health Authority (DHA)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Certified Fire Marshall and Health &amp; Safety –First Security Group, Approved by the Dubai Civil Defense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 xml:space="preserve">Certificate of Fire Safety Fundamentals – Dubai Civil </w:t>
      </w:r>
      <w:r>
        <w:rPr>
          <w:rFonts w:ascii="Calibri" w:eastAsia="Calibri" w:hAnsi="Calibri" w:cs="Calibri"/>
          <w:sz w:val="14"/>
          <w:szCs w:val="14"/>
        </w:rPr>
        <w:t>Defense Authority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Certificate of Business Etiquette &amp; Performance Appraisal – Eton Institute, UK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Certificate of Essential Behavioral Interview Techniques – Emaar Hospitality Group, Dubai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Certificate of Anger Management and Controlling Anger– Emaar Hospi</w:t>
      </w:r>
      <w:r>
        <w:rPr>
          <w:rFonts w:ascii="Calibri" w:eastAsia="Calibri" w:hAnsi="Calibri" w:cs="Calibri"/>
          <w:sz w:val="14"/>
          <w:szCs w:val="14"/>
        </w:rPr>
        <w:t>tality Group, Dubai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Certificate of Service Synergy &amp; GSTS- Real Learning Institute, South Africa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Certificate of “CAN DO” Philosophy - Real Learning Institute, South Africa</w:t>
      </w:r>
    </w:p>
    <w:p w:rsidR="009D6941" w:rsidRDefault="009D6941">
      <w:pPr>
        <w:spacing w:line="45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Certificate of EQI &amp; Intuitive Service - Real Learning Institute, South Africa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ertificate in Recruitment &amp; Selections- Real Learning Institute, South Africa</w:t>
      </w:r>
    </w:p>
    <w:p w:rsidR="009D6941" w:rsidRDefault="009D6941">
      <w:pPr>
        <w:spacing w:line="48" w:lineRule="exact"/>
        <w:rPr>
          <w:rFonts w:ascii="Wingdings" w:eastAsia="Wingdings" w:hAnsi="Wingdings" w:cs="Wingdings"/>
          <w:sz w:val="23"/>
          <w:szCs w:val="23"/>
          <w:vertAlign w:val="superscript"/>
        </w:rPr>
      </w:pPr>
    </w:p>
    <w:p w:rsidR="009D6941" w:rsidRDefault="00AF582C">
      <w:pPr>
        <w:numPr>
          <w:ilvl w:val="0"/>
          <w:numId w:val="4"/>
        </w:numPr>
        <w:tabs>
          <w:tab w:val="left" w:pos="1000"/>
        </w:tabs>
        <w:spacing w:line="185" w:lineRule="auto"/>
        <w:ind w:left="1000" w:hanging="360"/>
        <w:rPr>
          <w:rFonts w:ascii="Wingdings" w:eastAsia="Wingdings" w:hAnsi="Wingdings" w:cs="Wingdings"/>
          <w:sz w:val="23"/>
          <w:szCs w:val="23"/>
          <w:vertAlign w:val="superscript"/>
        </w:rPr>
      </w:pPr>
      <w:r>
        <w:rPr>
          <w:rFonts w:ascii="Calibri" w:eastAsia="Calibri" w:hAnsi="Calibri" w:cs="Calibri"/>
          <w:sz w:val="14"/>
          <w:szCs w:val="14"/>
        </w:rPr>
        <w:t>Train The Trainer – Real Learning Institute, South Africa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1270</wp:posOffset>
            </wp:positionV>
            <wp:extent cx="6670040" cy="36385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320"/>
        <w:gridCol w:w="3700"/>
        <w:gridCol w:w="2880"/>
      </w:tblGrid>
      <w:tr w:rsidR="009D6941">
        <w:trPr>
          <w:trHeight w:val="197"/>
        </w:trPr>
        <w:tc>
          <w:tcPr>
            <w:tcW w:w="2120" w:type="dxa"/>
            <w:vAlign w:val="bottom"/>
          </w:tcPr>
          <w:p w:rsidR="009D6941" w:rsidRDefault="00AF582C">
            <w:pPr>
              <w:spacing w:line="198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Special Experience</w:t>
            </w:r>
          </w:p>
        </w:tc>
        <w:tc>
          <w:tcPr>
            <w:tcW w:w="5020" w:type="dxa"/>
            <w:gridSpan w:val="2"/>
            <w:vAlign w:val="bottom"/>
          </w:tcPr>
          <w:p w:rsidR="009D6941" w:rsidRDefault="00AF582C">
            <w:pPr>
              <w:spacing w:line="198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 Africa and Asia, Middle East</w:t>
            </w:r>
          </w:p>
        </w:tc>
        <w:tc>
          <w:tcPr>
            <w:tcW w:w="2880" w:type="dxa"/>
            <w:vAlign w:val="bottom"/>
          </w:tcPr>
          <w:p w:rsidR="009D6941" w:rsidRDefault="009D6941">
            <w:pPr>
              <w:rPr>
                <w:sz w:val="17"/>
                <w:szCs w:val="17"/>
              </w:rPr>
            </w:pPr>
          </w:p>
        </w:tc>
      </w:tr>
      <w:tr w:rsidR="009D6941">
        <w:trPr>
          <w:trHeight w:val="152"/>
        </w:trPr>
        <w:tc>
          <w:tcPr>
            <w:tcW w:w="2120" w:type="dxa"/>
            <w:vAlign w:val="bottom"/>
          </w:tcPr>
          <w:p w:rsidR="009D6941" w:rsidRDefault="00AF582C">
            <w:pPr>
              <w:spacing w:line="151" w:lineRule="exact"/>
              <w:ind w:left="160"/>
              <w:rPr>
                <w:sz w:val="20"/>
                <w:szCs w:val="20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FFFFFF"/>
                <w:sz w:val="17"/>
                <w:szCs w:val="17"/>
              </w:rPr>
              <w:t>My Strength</w:t>
            </w:r>
          </w:p>
        </w:tc>
        <w:tc>
          <w:tcPr>
            <w:tcW w:w="1320" w:type="dxa"/>
            <w:vAlign w:val="bottom"/>
          </w:tcPr>
          <w:p w:rsidR="009D6941" w:rsidRDefault="009D6941">
            <w:pPr>
              <w:rPr>
                <w:sz w:val="13"/>
                <w:szCs w:val="13"/>
              </w:rPr>
            </w:pPr>
          </w:p>
        </w:tc>
        <w:tc>
          <w:tcPr>
            <w:tcW w:w="3700" w:type="dxa"/>
            <w:vAlign w:val="bottom"/>
          </w:tcPr>
          <w:p w:rsidR="009D6941" w:rsidRDefault="009D6941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Align w:val="bottom"/>
          </w:tcPr>
          <w:p w:rsidR="009D6941" w:rsidRDefault="009D6941">
            <w:pPr>
              <w:rPr>
                <w:sz w:val="13"/>
                <w:szCs w:val="13"/>
              </w:rPr>
            </w:pPr>
          </w:p>
        </w:tc>
      </w:tr>
      <w:tr w:rsidR="009D6941">
        <w:trPr>
          <w:trHeight w:val="147"/>
        </w:trPr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9D6941" w:rsidRDefault="009D6941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9D6941" w:rsidRDefault="009D6941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9D6941" w:rsidRDefault="009D6941">
            <w:pPr>
              <w:rPr>
                <w:sz w:val="12"/>
                <w:szCs w:val="12"/>
              </w:rPr>
            </w:pPr>
          </w:p>
        </w:tc>
      </w:tr>
      <w:tr w:rsidR="009D6941">
        <w:trPr>
          <w:trHeight w:val="227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941" w:rsidRDefault="00AF582C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 Management and Self Disciplined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D6941" w:rsidRDefault="00AF582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Accurate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investigator and Conflict Analyst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D6941" w:rsidRDefault="00AF582C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Impartial and Objective</w:t>
            </w:r>
          </w:p>
        </w:tc>
      </w:tr>
      <w:tr w:rsidR="009D6941">
        <w:trPr>
          <w:trHeight w:val="245"/>
        </w:trPr>
        <w:tc>
          <w:tcPr>
            <w:tcW w:w="3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D6941" w:rsidRDefault="00AF58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Listener and a good Decision maker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9D6941" w:rsidRDefault="00AF58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Trustworthy and reliable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9D6941" w:rsidRDefault="00AF58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Counselor and Motivator</w:t>
            </w:r>
          </w:p>
        </w:tc>
      </w:tr>
      <w:tr w:rsidR="009D6941">
        <w:trPr>
          <w:trHeight w:val="250"/>
        </w:trPr>
        <w:tc>
          <w:tcPr>
            <w:tcW w:w="3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D6941" w:rsidRDefault="00AF582C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Solution ideologist and Accountable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941" w:rsidRDefault="00AF582C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Planning and delegation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6941" w:rsidRDefault="00AF58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player and flexible</w:t>
            </w:r>
          </w:p>
        </w:tc>
      </w:tr>
    </w:tbl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-43815</wp:posOffset>
            </wp:positionH>
            <wp:positionV relativeFrom="paragraph">
              <wp:posOffset>-15240</wp:posOffset>
            </wp:positionV>
            <wp:extent cx="6670040" cy="3638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19" w:lineRule="exact"/>
        <w:rPr>
          <w:sz w:val="20"/>
          <w:szCs w:val="20"/>
        </w:rPr>
      </w:pPr>
    </w:p>
    <w:p w:rsidR="009D6941" w:rsidRDefault="00AF582C">
      <w:pPr>
        <w:ind w:left="14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Additional Information</w:t>
      </w:r>
    </w:p>
    <w:p w:rsidR="009D6941" w:rsidRDefault="00AF582C">
      <w:pPr>
        <w:spacing w:line="225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Male, Married (Spouse and 2 kids), Date of Birth: 30th July 1983, Kenyan Citizen</w:t>
      </w:r>
    </w:p>
    <w:p w:rsidR="009D6941" w:rsidRDefault="00AF582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Passport Number: A1916043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z w:val="20"/>
          <w:szCs w:val="20"/>
        </w:rPr>
        <w:t xml:space="preserve"> Religion: Christian</w:t>
      </w:r>
    </w:p>
    <w:p w:rsidR="009D6941" w:rsidRDefault="009D6941">
      <w:pPr>
        <w:spacing w:line="2" w:lineRule="exact"/>
        <w:rPr>
          <w:sz w:val="20"/>
          <w:szCs w:val="20"/>
        </w:rPr>
      </w:pPr>
    </w:p>
    <w:p w:rsidR="009D6941" w:rsidRDefault="00AF582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Languages:</w:t>
      </w:r>
    </w:p>
    <w:p w:rsidR="009D6941" w:rsidRDefault="00AF582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English; Spoken, Written, Reading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z w:val="20"/>
          <w:szCs w:val="20"/>
        </w:rPr>
        <w:t xml:space="preserve">Spanish; Basic spoken, Reading, Writing </w:t>
      </w:r>
      <w:r>
        <w:rPr>
          <w:rFonts w:ascii="Calibri" w:eastAsia="Calibri" w:hAnsi="Calibri" w:cs="Calibri"/>
        </w:rPr>
        <w:t>|</w:t>
      </w:r>
      <w:r>
        <w:rPr>
          <w:rFonts w:ascii="Calibri" w:eastAsia="Calibri" w:hAnsi="Calibri" w:cs="Calibri"/>
          <w:sz w:val="20"/>
          <w:szCs w:val="20"/>
        </w:rPr>
        <w:t xml:space="preserve"> Swahili; Spoken, written, Reading</w:t>
      </w:r>
    </w:p>
    <w:p w:rsidR="009D6941" w:rsidRDefault="00AF582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-84455</wp:posOffset>
            </wp:positionH>
            <wp:positionV relativeFrom="paragraph">
              <wp:posOffset>14605</wp:posOffset>
            </wp:positionV>
            <wp:extent cx="6670040" cy="36385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040" cy="36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941" w:rsidRDefault="009D6941">
      <w:pPr>
        <w:spacing w:line="67" w:lineRule="exact"/>
        <w:rPr>
          <w:sz w:val="20"/>
          <w:szCs w:val="20"/>
        </w:rPr>
      </w:pPr>
    </w:p>
    <w:p w:rsidR="009D6941" w:rsidRDefault="00AF582C">
      <w:pPr>
        <w:ind w:left="80"/>
        <w:rPr>
          <w:sz w:val="20"/>
          <w:szCs w:val="20"/>
        </w:rPr>
      </w:pPr>
      <w:r>
        <w:rPr>
          <w:rFonts w:ascii="Lucida Sans" w:eastAsia="Lucida Sans" w:hAnsi="Lucida Sans" w:cs="Lucida Sans"/>
          <w:b/>
          <w:bCs/>
          <w:color w:val="FFFFFF"/>
          <w:sz w:val="20"/>
          <w:szCs w:val="20"/>
        </w:rPr>
        <w:t>Character references: Available upon request</w:t>
      </w:r>
    </w:p>
    <w:sectPr w:rsidR="009D6941" w:rsidSect="009D6941">
      <w:type w:val="continuous"/>
      <w:pgSz w:w="11900" w:h="16838"/>
      <w:pgMar w:top="718" w:right="746" w:bottom="762" w:left="116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5A42E64"/>
    <w:lvl w:ilvl="0" w:tplc="2A986D56">
      <w:start w:val="1"/>
      <w:numFmt w:val="bullet"/>
      <w:lvlText w:val=""/>
      <w:lvlJc w:val="left"/>
    </w:lvl>
    <w:lvl w:ilvl="1" w:tplc="EBC0A46C">
      <w:numFmt w:val="decimal"/>
      <w:lvlText w:val=""/>
      <w:lvlJc w:val="left"/>
    </w:lvl>
    <w:lvl w:ilvl="2" w:tplc="30827B66">
      <w:numFmt w:val="decimal"/>
      <w:lvlText w:val=""/>
      <w:lvlJc w:val="left"/>
    </w:lvl>
    <w:lvl w:ilvl="3" w:tplc="5CC6A940">
      <w:numFmt w:val="decimal"/>
      <w:lvlText w:val=""/>
      <w:lvlJc w:val="left"/>
    </w:lvl>
    <w:lvl w:ilvl="4" w:tplc="95D46B08">
      <w:numFmt w:val="decimal"/>
      <w:lvlText w:val=""/>
      <w:lvlJc w:val="left"/>
    </w:lvl>
    <w:lvl w:ilvl="5" w:tplc="A712F8F2">
      <w:numFmt w:val="decimal"/>
      <w:lvlText w:val=""/>
      <w:lvlJc w:val="left"/>
    </w:lvl>
    <w:lvl w:ilvl="6" w:tplc="125A6C54">
      <w:numFmt w:val="decimal"/>
      <w:lvlText w:val=""/>
      <w:lvlJc w:val="left"/>
    </w:lvl>
    <w:lvl w:ilvl="7" w:tplc="38162DAC">
      <w:numFmt w:val="decimal"/>
      <w:lvlText w:val=""/>
      <w:lvlJc w:val="left"/>
    </w:lvl>
    <w:lvl w:ilvl="8" w:tplc="8C10BFFA">
      <w:numFmt w:val="decimal"/>
      <w:lvlText w:val=""/>
      <w:lvlJc w:val="left"/>
    </w:lvl>
  </w:abstractNum>
  <w:abstractNum w:abstractNumId="1">
    <w:nsid w:val="00003D6C"/>
    <w:multiLevelType w:val="hybridMultilevel"/>
    <w:tmpl w:val="09241E6A"/>
    <w:lvl w:ilvl="0" w:tplc="3984E3B0">
      <w:start w:val="1"/>
      <w:numFmt w:val="bullet"/>
      <w:lvlText w:val=""/>
      <w:lvlJc w:val="left"/>
    </w:lvl>
    <w:lvl w:ilvl="1" w:tplc="6E04EACA">
      <w:numFmt w:val="decimal"/>
      <w:lvlText w:val=""/>
      <w:lvlJc w:val="left"/>
    </w:lvl>
    <w:lvl w:ilvl="2" w:tplc="F036126A">
      <w:numFmt w:val="decimal"/>
      <w:lvlText w:val=""/>
      <w:lvlJc w:val="left"/>
    </w:lvl>
    <w:lvl w:ilvl="3" w:tplc="D4A42382">
      <w:numFmt w:val="decimal"/>
      <w:lvlText w:val=""/>
      <w:lvlJc w:val="left"/>
    </w:lvl>
    <w:lvl w:ilvl="4" w:tplc="87A2C16A">
      <w:numFmt w:val="decimal"/>
      <w:lvlText w:val=""/>
      <w:lvlJc w:val="left"/>
    </w:lvl>
    <w:lvl w:ilvl="5" w:tplc="82DC928E">
      <w:numFmt w:val="decimal"/>
      <w:lvlText w:val=""/>
      <w:lvlJc w:val="left"/>
    </w:lvl>
    <w:lvl w:ilvl="6" w:tplc="FBDA9ADA">
      <w:numFmt w:val="decimal"/>
      <w:lvlText w:val=""/>
      <w:lvlJc w:val="left"/>
    </w:lvl>
    <w:lvl w:ilvl="7" w:tplc="1A00C482">
      <w:numFmt w:val="decimal"/>
      <w:lvlText w:val=""/>
      <w:lvlJc w:val="left"/>
    </w:lvl>
    <w:lvl w:ilvl="8" w:tplc="68FCEC64">
      <w:numFmt w:val="decimal"/>
      <w:lvlText w:val=""/>
      <w:lvlJc w:val="left"/>
    </w:lvl>
  </w:abstractNum>
  <w:abstractNum w:abstractNumId="2">
    <w:nsid w:val="00004AE1"/>
    <w:multiLevelType w:val="hybridMultilevel"/>
    <w:tmpl w:val="BF4A2CD8"/>
    <w:lvl w:ilvl="0" w:tplc="B6FC65A0">
      <w:start w:val="1"/>
      <w:numFmt w:val="bullet"/>
      <w:lvlText w:val=""/>
      <w:lvlJc w:val="left"/>
    </w:lvl>
    <w:lvl w:ilvl="1" w:tplc="4BD6CE36">
      <w:numFmt w:val="decimal"/>
      <w:lvlText w:val=""/>
      <w:lvlJc w:val="left"/>
    </w:lvl>
    <w:lvl w:ilvl="2" w:tplc="76344B8C">
      <w:numFmt w:val="decimal"/>
      <w:lvlText w:val=""/>
      <w:lvlJc w:val="left"/>
    </w:lvl>
    <w:lvl w:ilvl="3" w:tplc="B21C4F40">
      <w:numFmt w:val="decimal"/>
      <w:lvlText w:val=""/>
      <w:lvlJc w:val="left"/>
    </w:lvl>
    <w:lvl w:ilvl="4" w:tplc="B906A354">
      <w:numFmt w:val="decimal"/>
      <w:lvlText w:val=""/>
      <w:lvlJc w:val="left"/>
    </w:lvl>
    <w:lvl w:ilvl="5" w:tplc="3542A55C">
      <w:numFmt w:val="decimal"/>
      <w:lvlText w:val=""/>
      <w:lvlJc w:val="left"/>
    </w:lvl>
    <w:lvl w:ilvl="6" w:tplc="3AC04B92">
      <w:numFmt w:val="decimal"/>
      <w:lvlText w:val=""/>
      <w:lvlJc w:val="left"/>
    </w:lvl>
    <w:lvl w:ilvl="7" w:tplc="B9521FD0">
      <w:numFmt w:val="decimal"/>
      <w:lvlText w:val=""/>
      <w:lvlJc w:val="left"/>
    </w:lvl>
    <w:lvl w:ilvl="8" w:tplc="B3C6566C">
      <w:numFmt w:val="decimal"/>
      <w:lvlText w:val=""/>
      <w:lvlJc w:val="left"/>
    </w:lvl>
  </w:abstractNum>
  <w:abstractNum w:abstractNumId="3">
    <w:nsid w:val="000072AE"/>
    <w:multiLevelType w:val="hybridMultilevel"/>
    <w:tmpl w:val="8318D460"/>
    <w:lvl w:ilvl="0" w:tplc="F37EED52">
      <w:start w:val="1"/>
      <w:numFmt w:val="bullet"/>
      <w:lvlText w:val=""/>
      <w:lvlJc w:val="left"/>
    </w:lvl>
    <w:lvl w:ilvl="1" w:tplc="EE246750">
      <w:numFmt w:val="decimal"/>
      <w:lvlText w:val=""/>
      <w:lvlJc w:val="left"/>
    </w:lvl>
    <w:lvl w:ilvl="2" w:tplc="CD50F55A">
      <w:numFmt w:val="decimal"/>
      <w:lvlText w:val=""/>
      <w:lvlJc w:val="left"/>
    </w:lvl>
    <w:lvl w:ilvl="3" w:tplc="2D5EC250">
      <w:numFmt w:val="decimal"/>
      <w:lvlText w:val=""/>
      <w:lvlJc w:val="left"/>
    </w:lvl>
    <w:lvl w:ilvl="4" w:tplc="1FF2E95E">
      <w:numFmt w:val="decimal"/>
      <w:lvlText w:val=""/>
      <w:lvlJc w:val="left"/>
    </w:lvl>
    <w:lvl w:ilvl="5" w:tplc="4AC4CD82">
      <w:numFmt w:val="decimal"/>
      <w:lvlText w:val=""/>
      <w:lvlJc w:val="left"/>
    </w:lvl>
    <w:lvl w:ilvl="6" w:tplc="6B24C89E">
      <w:numFmt w:val="decimal"/>
      <w:lvlText w:val=""/>
      <w:lvlJc w:val="left"/>
    </w:lvl>
    <w:lvl w:ilvl="7" w:tplc="E120071E">
      <w:numFmt w:val="decimal"/>
      <w:lvlText w:val=""/>
      <w:lvlJc w:val="left"/>
    </w:lvl>
    <w:lvl w:ilvl="8" w:tplc="88EE8D9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D6941"/>
    <w:rsid w:val="009D6941"/>
    <w:rsid w:val="00A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boaz.381020@2freemail.com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2018-07-05T09:15:00Z</dcterms:created>
  <dcterms:modified xsi:type="dcterms:W3CDTF">2018-07-05T07:17:00Z</dcterms:modified>
</cp:coreProperties>
</file>