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1B" w:rsidRDefault="00851C1B">
      <w:pPr>
        <w:spacing w:line="200" w:lineRule="exact"/>
        <w:rPr>
          <w:sz w:val="24"/>
          <w:szCs w:val="24"/>
        </w:rPr>
      </w:pPr>
    </w:p>
    <w:p w:rsidR="00851C1B" w:rsidRDefault="00851C1B">
      <w:pPr>
        <w:spacing w:line="200" w:lineRule="exact"/>
        <w:rPr>
          <w:sz w:val="24"/>
          <w:szCs w:val="24"/>
        </w:rPr>
      </w:pPr>
    </w:p>
    <w:p w:rsidR="00851C1B" w:rsidRDefault="00851C1B">
      <w:pPr>
        <w:spacing w:line="200" w:lineRule="exact"/>
        <w:rPr>
          <w:sz w:val="24"/>
          <w:szCs w:val="24"/>
        </w:rPr>
      </w:pPr>
    </w:p>
    <w:p w:rsidR="00851C1B" w:rsidRDefault="00851C1B">
      <w:pPr>
        <w:spacing w:line="200" w:lineRule="exact"/>
        <w:rPr>
          <w:sz w:val="24"/>
          <w:szCs w:val="24"/>
        </w:rPr>
      </w:pPr>
    </w:p>
    <w:p w:rsidR="00851C1B" w:rsidRDefault="00851C1B">
      <w:pPr>
        <w:spacing w:line="200" w:lineRule="exact"/>
        <w:rPr>
          <w:sz w:val="24"/>
          <w:szCs w:val="24"/>
        </w:rPr>
      </w:pPr>
    </w:p>
    <w:p w:rsidR="00851C1B" w:rsidRDefault="00851C1B">
      <w:pPr>
        <w:spacing w:line="200" w:lineRule="exact"/>
        <w:rPr>
          <w:sz w:val="24"/>
          <w:szCs w:val="24"/>
        </w:rPr>
      </w:pPr>
    </w:p>
    <w:p w:rsidR="00851C1B" w:rsidRDefault="00851C1B">
      <w:pPr>
        <w:spacing w:line="200" w:lineRule="exact"/>
        <w:rPr>
          <w:sz w:val="24"/>
          <w:szCs w:val="24"/>
        </w:rPr>
      </w:pPr>
    </w:p>
    <w:p w:rsidR="00851C1B" w:rsidRDefault="00851C1B">
      <w:pPr>
        <w:spacing w:line="200" w:lineRule="exact"/>
        <w:rPr>
          <w:sz w:val="24"/>
          <w:szCs w:val="24"/>
        </w:rPr>
      </w:pPr>
    </w:p>
    <w:p w:rsidR="00851C1B" w:rsidRDefault="00851C1B">
      <w:pPr>
        <w:spacing w:line="200" w:lineRule="exact"/>
        <w:rPr>
          <w:sz w:val="24"/>
          <w:szCs w:val="24"/>
        </w:rPr>
      </w:pPr>
    </w:p>
    <w:p w:rsidR="00851C1B" w:rsidRDefault="00851C1B">
      <w:pPr>
        <w:spacing w:line="200" w:lineRule="exact"/>
        <w:rPr>
          <w:sz w:val="24"/>
          <w:szCs w:val="24"/>
        </w:rPr>
      </w:pPr>
    </w:p>
    <w:p w:rsidR="00851C1B" w:rsidRDefault="00851C1B">
      <w:pPr>
        <w:spacing w:line="255" w:lineRule="exact"/>
        <w:rPr>
          <w:sz w:val="24"/>
          <w:szCs w:val="24"/>
        </w:rPr>
      </w:pPr>
    </w:p>
    <w:p w:rsidR="00851C1B" w:rsidRDefault="00C713A4" w:rsidP="00C713A4">
      <w:pPr>
        <w:ind w:firstLine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MELVIN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MAEd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>, RGC</w:t>
      </w:r>
    </w:p>
    <w:p w:rsidR="00851C1B" w:rsidRDefault="00851C1B">
      <w:pPr>
        <w:spacing w:line="9" w:lineRule="exact"/>
        <w:rPr>
          <w:sz w:val="24"/>
          <w:szCs w:val="24"/>
        </w:rPr>
      </w:pPr>
    </w:p>
    <w:p w:rsidR="00851C1B" w:rsidRDefault="00C713A4">
      <w:pPr>
        <w:spacing w:line="235" w:lineRule="auto"/>
        <w:jc w:val="center"/>
        <w:rPr>
          <w:rFonts w:ascii="Arial" w:eastAsia="Arial" w:hAnsi="Arial" w:cs="Arial"/>
          <w:i/>
          <w:iCs/>
        </w:rPr>
      </w:pPr>
      <w:hyperlink r:id="rId5" w:history="1">
        <w:r w:rsidRPr="00B452EC">
          <w:rPr>
            <w:rStyle w:val="Hyperlink"/>
            <w:rFonts w:ascii="Arial" w:eastAsia="Arial" w:hAnsi="Arial" w:cs="Arial"/>
            <w:i/>
            <w:iCs/>
          </w:rPr>
          <w:t>Melvin.381658@2freemail.com</w:t>
        </w:r>
      </w:hyperlink>
      <w:r>
        <w:rPr>
          <w:rFonts w:ascii="Arial" w:eastAsia="Arial" w:hAnsi="Arial" w:cs="Arial"/>
          <w:i/>
          <w:iCs/>
        </w:rPr>
        <w:t xml:space="preserve"> </w:t>
      </w:r>
    </w:p>
    <w:p w:rsidR="00C713A4" w:rsidRDefault="00C713A4">
      <w:pPr>
        <w:spacing w:line="235" w:lineRule="auto"/>
        <w:jc w:val="center"/>
        <w:rPr>
          <w:rFonts w:ascii="Arial" w:eastAsia="Arial" w:hAnsi="Arial" w:cs="Arial"/>
          <w:i/>
          <w:iCs/>
        </w:rPr>
      </w:pPr>
    </w:p>
    <w:p w:rsidR="00C713A4" w:rsidRDefault="00C713A4">
      <w:pPr>
        <w:spacing w:line="235" w:lineRule="auto"/>
        <w:jc w:val="center"/>
        <w:rPr>
          <w:sz w:val="20"/>
          <w:szCs w:val="20"/>
        </w:rPr>
      </w:pPr>
    </w:p>
    <w:p w:rsidR="00851C1B" w:rsidRDefault="00851C1B">
      <w:pPr>
        <w:spacing w:line="275" w:lineRule="exact"/>
        <w:rPr>
          <w:sz w:val="24"/>
          <w:szCs w:val="24"/>
        </w:rPr>
      </w:pPr>
    </w:p>
    <w:p w:rsidR="00851C1B" w:rsidRDefault="00C713A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OBJECTIVES :</w:t>
      </w:r>
    </w:p>
    <w:p w:rsidR="00851C1B" w:rsidRDefault="00851C1B">
      <w:pPr>
        <w:spacing w:line="49" w:lineRule="exact"/>
        <w:rPr>
          <w:sz w:val="24"/>
          <w:szCs w:val="24"/>
        </w:rPr>
      </w:pPr>
    </w:p>
    <w:p w:rsidR="00851C1B" w:rsidRDefault="00C713A4">
      <w:pPr>
        <w:spacing w:line="231" w:lineRule="auto"/>
        <w:ind w:firstLine="7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To be able to work and be part of your institution that would further enhance the knowledge and the discipline </w:t>
      </w:r>
      <w:r>
        <w:rPr>
          <w:rFonts w:ascii="Calibri" w:eastAsia="Calibri" w:hAnsi="Calibri" w:cs="Calibri"/>
        </w:rPr>
        <w:t>built in me and opportunity to learn and handle new things and task.</w:t>
      </w:r>
    </w:p>
    <w:p w:rsidR="00851C1B" w:rsidRDefault="00851C1B">
      <w:pPr>
        <w:spacing w:line="272" w:lineRule="exact"/>
        <w:rPr>
          <w:sz w:val="24"/>
          <w:szCs w:val="24"/>
        </w:rPr>
      </w:pPr>
    </w:p>
    <w:p w:rsidR="00851C1B" w:rsidRDefault="00C713A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PERSONAL BACKGROUND :</w:t>
      </w:r>
    </w:p>
    <w:p w:rsidR="00851C1B" w:rsidRDefault="00851C1B">
      <w:pPr>
        <w:spacing w:line="26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520"/>
        <w:gridCol w:w="2540"/>
      </w:tblGrid>
      <w:tr w:rsidR="00851C1B">
        <w:trPr>
          <w:trHeight w:val="269"/>
        </w:trPr>
        <w:tc>
          <w:tcPr>
            <w:tcW w:w="1320" w:type="dxa"/>
            <w:vAlign w:val="bottom"/>
          </w:tcPr>
          <w:p w:rsidR="00851C1B" w:rsidRDefault="00C713A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520" w:type="dxa"/>
            <w:vAlign w:val="bottom"/>
          </w:tcPr>
          <w:p w:rsidR="00851C1B" w:rsidRDefault="00C713A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540" w:type="dxa"/>
            <w:vAlign w:val="bottom"/>
          </w:tcPr>
          <w:p w:rsidR="00851C1B" w:rsidRDefault="00C713A4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December 17, 1989</w:t>
            </w:r>
          </w:p>
        </w:tc>
      </w:tr>
      <w:tr w:rsidR="00851C1B">
        <w:trPr>
          <w:trHeight w:val="269"/>
        </w:trPr>
        <w:tc>
          <w:tcPr>
            <w:tcW w:w="1320" w:type="dxa"/>
            <w:vAlign w:val="bottom"/>
          </w:tcPr>
          <w:p w:rsidR="00851C1B" w:rsidRDefault="00C713A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Place of Birth</w:t>
            </w:r>
          </w:p>
        </w:tc>
        <w:tc>
          <w:tcPr>
            <w:tcW w:w="520" w:type="dxa"/>
            <w:vAlign w:val="bottom"/>
          </w:tcPr>
          <w:p w:rsidR="00851C1B" w:rsidRDefault="00C713A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540" w:type="dxa"/>
            <w:vAlign w:val="bottom"/>
          </w:tcPr>
          <w:p w:rsidR="00851C1B" w:rsidRDefault="00C713A4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Manila</w:t>
            </w:r>
          </w:p>
        </w:tc>
      </w:tr>
      <w:tr w:rsidR="00851C1B">
        <w:trPr>
          <w:trHeight w:val="269"/>
        </w:trPr>
        <w:tc>
          <w:tcPr>
            <w:tcW w:w="1320" w:type="dxa"/>
            <w:vAlign w:val="bottom"/>
          </w:tcPr>
          <w:p w:rsidR="00851C1B" w:rsidRDefault="00C713A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Height</w:t>
            </w:r>
          </w:p>
        </w:tc>
        <w:tc>
          <w:tcPr>
            <w:tcW w:w="520" w:type="dxa"/>
            <w:vAlign w:val="bottom"/>
          </w:tcPr>
          <w:p w:rsidR="00851C1B" w:rsidRDefault="00C713A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540" w:type="dxa"/>
            <w:vAlign w:val="bottom"/>
          </w:tcPr>
          <w:p w:rsidR="00851C1B" w:rsidRDefault="00C713A4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5’3”</w:t>
            </w:r>
          </w:p>
        </w:tc>
      </w:tr>
      <w:tr w:rsidR="00851C1B">
        <w:trPr>
          <w:trHeight w:val="264"/>
        </w:trPr>
        <w:tc>
          <w:tcPr>
            <w:tcW w:w="1320" w:type="dxa"/>
            <w:vAlign w:val="bottom"/>
          </w:tcPr>
          <w:p w:rsidR="00851C1B" w:rsidRDefault="00C713A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Weight</w:t>
            </w:r>
          </w:p>
        </w:tc>
        <w:tc>
          <w:tcPr>
            <w:tcW w:w="520" w:type="dxa"/>
            <w:vAlign w:val="bottom"/>
          </w:tcPr>
          <w:p w:rsidR="00851C1B" w:rsidRDefault="00C713A4">
            <w:pPr>
              <w:spacing w:line="263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540" w:type="dxa"/>
            <w:vAlign w:val="bottom"/>
          </w:tcPr>
          <w:p w:rsidR="00851C1B" w:rsidRDefault="00C713A4">
            <w:pPr>
              <w:spacing w:line="263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125 lbs</w:t>
            </w:r>
          </w:p>
        </w:tc>
      </w:tr>
      <w:tr w:rsidR="00851C1B">
        <w:trPr>
          <w:trHeight w:val="269"/>
        </w:trPr>
        <w:tc>
          <w:tcPr>
            <w:tcW w:w="1320" w:type="dxa"/>
            <w:vAlign w:val="bottom"/>
          </w:tcPr>
          <w:p w:rsidR="00851C1B" w:rsidRDefault="00C713A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Religion</w:t>
            </w:r>
          </w:p>
        </w:tc>
        <w:tc>
          <w:tcPr>
            <w:tcW w:w="520" w:type="dxa"/>
            <w:vAlign w:val="bottom"/>
          </w:tcPr>
          <w:p w:rsidR="00851C1B" w:rsidRDefault="00C713A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540" w:type="dxa"/>
            <w:vAlign w:val="bottom"/>
          </w:tcPr>
          <w:p w:rsidR="00851C1B" w:rsidRDefault="00C713A4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Roman Catholic</w:t>
            </w:r>
          </w:p>
        </w:tc>
      </w:tr>
      <w:tr w:rsidR="00851C1B">
        <w:trPr>
          <w:trHeight w:val="269"/>
        </w:trPr>
        <w:tc>
          <w:tcPr>
            <w:tcW w:w="1320" w:type="dxa"/>
            <w:vAlign w:val="bottom"/>
          </w:tcPr>
          <w:p w:rsidR="00851C1B" w:rsidRDefault="00C713A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Citizenship</w:t>
            </w:r>
          </w:p>
        </w:tc>
        <w:tc>
          <w:tcPr>
            <w:tcW w:w="520" w:type="dxa"/>
            <w:vAlign w:val="bottom"/>
          </w:tcPr>
          <w:p w:rsidR="00851C1B" w:rsidRDefault="00C713A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540" w:type="dxa"/>
            <w:vAlign w:val="bottom"/>
          </w:tcPr>
          <w:p w:rsidR="00851C1B" w:rsidRDefault="00C713A4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Filipino</w:t>
            </w:r>
          </w:p>
        </w:tc>
      </w:tr>
      <w:tr w:rsidR="00851C1B">
        <w:trPr>
          <w:trHeight w:val="269"/>
        </w:trPr>
        <w:tc>
          <w:tcPr>
            <w:tcW w:w="1320" w:type="dxa"/>
            <w:vAlign w:val="bottom"/>
          </w:tcPr>
          <w:p w:rsidR="00851C1B" w:rsidRDefault="00C713A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Civil Status</w:t>
            </w:r>
          </w:p>
        </w:tc>
        <w:tc>
          <w:tcPr>
            <w:tcW w:w="520" w:type="dxa"/>
            <w:vAlign w:val="bottom"/>
          </w:tcPr>
          <w:p w:rsidR="00851C1B" w:rsidRDefault="00C713A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540" w:type="dxa"/>
            <w:vAlign w:val="bottom"/>
          </w:tcPr>
          <w:p w:rsidR="00851C1B" w:rsidRDefault="00C713A4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Single</w:t>
            </w:r>
          </w:p>
        </w:tc>
      </w:tr>
      <w:tr w:rsidR="00851C1B">
        <w:trPr>
          <w:trHeight w:val="269"/>
        </w:trPr>
        <w:tc>
          <w:tcPr>
            <w:tcW w:w="1320" w:type="dxa"/>
            <w:vAlign w:val="bottom"/>
          </w:tcPr>
          <w:p w:rsidR="00851C1B" w:rsidRDefault="00C713A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Languages</w:t>
            </w:r>
          </w:p>
        </w:tc>
        <w:tc>
          <w:tcPr>
            <w:tcW w:w="520" w:type="dxa"/>
            <w:vAlign w:val="bottom"/>
          </w:tcPr>
          <w:p w:rsidR="00851C1B" w:rsidRDefault="00C713A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540" w:type="dxa"/>
            <w:vAlign w:val="bottom"/>
          </w:tcPr>
          <w:p w:rsidR="00851C1B" w:rsidRDefault="00C713A4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English, Spanish, Tagalog</w:t>
            </w:r>
          </w:p>
        </w:tc>
      </w:tr>
    </w:tbl>
    <w:p w:rsidR="00851C1B" w:rsidRDefault="00851C1B">
      <w:pPr>
        <w:spacing w:line="269" w:lineRule="exact"/>
        <w:rPr>
          <w:sz w:val="24"/>
          <w:szCs w:val="24"/>
        </w:rPr>
      </w:pPr>
    </w:p>
    <w:p w:rsidR="00851C1B" w:rsidRDefault="00C713A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EDUCATIONAL BACKGROUND :</w:t>
      </w:r>
    </w:p>
    <w:p w:rsidR="00851C1B" w:rsidRDefault="00851C1B">
      <w:pPr>
        <w:spacing w:line="269" w:lineRule="exact"/>
        <w:rPr>
          <w:sz w:val="24"/>
          <w:szCs w:val="24"/>
        </w:rPr>
      </w:pPr>
    </w:p>
    <w:p w:rsidR="00851C1B" w:rsidRDefault="00C713A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Master’s :</w:t>
      </w:r>
    </w:p>
    <w:p w:rsidR="00851C1B" w:rsidRDefault="00C713A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St. Joseph’s College of Quezon City</w:t>
      </w:r>
    </w:p>
    <w:p w:rsidR="00851C1B" w:rsidRDefault="00C713A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295 E. Rodriguez Sr. Blvd. Quezon City</w:t>
      </w:r>
    </w:p>
    <w:p w:rsidR="00851C1B" w:rsidRDefault="00C713A4">
      <w:pPr>
        <w:ind w:left="6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MAED in Guidance and Counseling</w:t>
      </w:r>
    </w:p>
    <w:p w:rsidR="00851C1B" w:rsidRDefault="00851C1B">
      <w:pPr>
        <w:spacing w:line="270" w:lineRule="exact"/>
        <w:rPr>
          <w:sz w:val="24"/>
          <w:szCs w:val="24"/>
        </w:rPr>
      </w:pPr>
    </w:p>
    <w:p w:rsidR="00851C1B" w:rsidRDefault="00C713A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Tertiary :</w:t>
      </w:r>
    </w:p>
    <w:p w:rsidR="00851C1B" w:rsidRDefault="00851C1B">
      <w:pPr>
        <w:spacing w:line="49" w:lineRule="exact"/>
        <w:rPr>
          <w:sz w:val="24"/>
          <w:szCs w:val="24"/>
        </w:rPr>
      </w:pPr>
    </w:p>
    <w:p w:rsidR="00851C1B" w:rsidRDefault="00C713A4">
      <w:pPr>
        <w:spacing w:line="225" w:lineRule="auto"/>
        <w:ind w:left="20" w:right="5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Universidad de Manila </w:t>
      </w:r>
      <w:r>
        <w:rPr>
          <w:rFonts w:ascii="Calibri" w:eastAsia="Calibri" w:hAnsi="Calibri" w:cs="Calibri"/>
        </w:rPr>
        <w:t xml:space="preserve">Arroceros St. Mehan Gardens, Manila </w:t>
      </w:r>
      <w:r>
        <w:rPr>
          <w:rFonts w:ascii="Calibri" w:eastAsia="Calibri" w:hAnsi="Calibri" w:cs="Calibri"/>
          <w:b/>
          <w:bCs/>
          <w:i/>
          <w:iCs/>
        </w:rPr>
        <w:t>Bachelors of Science Psychology</w:t>
      </w:r>
    </w:p>
    <w:p w:rsidR="00851C1B" w:rsidRDefault="00851C1B">
      <w:pPr>
        <w:spacing w:line="271" w:lineRule="exact"/>
        <w:rPr>
          <w:sz w:val="24"/>
          <w:szCs w:val="24"/>
        </w:rPr>
      </w:pPr>
    </w:p>
    <w:p w:rsidR="00851C1B" w:rsidRDefault="00C713A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51C1B" w:rsidRPr="00C713A4" w:rsidRDefault="00C713A4" w:rsidP="00C713A4">
      <w:pPr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-3050540</wp:posOffset>
            </wp:positionH>
            <wp:positionV relativeFrom="paragraph">
              <wp:posOffset>-175895</wp:posOffset>
            </wp:positionV>
            <wp:extent cx="6946265" cy="9122410"/>
            <wp:effectExtent l="1905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65" cy="912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1C1B" w:rsidRDefault="00851C1B">
      <w:pPr>
        <w:spacing w:line="261" w:lineRule="exact"/>
        <w:rPr>
          <w:sz w:val="24"/>
          <w:szCs w:val="24"/>
        </w:rPr>
      </w:pPr>
    </w:p>
    <w:p w:rsidR="00851C1B" w:rsidRDefault="00851C1B">
      <w:pPr>
        <w:spacing w:line="255" w:lineRule="exact"/>
        <w:rPr>
          <w:sz w:val="24"/>
          <w:szCs w:val="24"/>
        </w:rPr>
      </w:pPr>
    </w:p>
    <w:p w:rsidR="00851C1B" w:rsidRDefault="00C713A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WORKING EXPERIENCE:</w:t>
      </w:r>
    </w:p>
    <w:p w:rsidR="00851C1B" w:rsidRDefault="00851C1B">
      <w:pPr>
        <w:spacing w:line="304" w:lineRule="exact"/>
        <w:rPr>
          <w:sz w:val="24"/>
          <w:szCs w:val="24"/>
        </w:rPr>
      </w:pPr>
    </w:p>
    <w:p w:rsidR="00851C1B" w:rsidRDefault="00C713A4">
      <w:pPr>
        <w:spacing w:line="234" w:lineRule="auto"/>
        <w:ind w:right="1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Guidance Counselor/ Student Affairs Coordinator, Pre-Elem. &amp; Elementary Department Teaching Moral Education to Grade 8 and 10 </w:t>
      </w:r>
      <w:r>
        <w:rPr>
          <w:rFonts w:ascii="Calibri" w:eastAsia="Calibri" w:hAnsi="Calibri" w:cs="Calibri"/>
          <w:sz w:val="21"/>
          <w:szCs w:val="21"/>
        </w:rPr>
        <w:t>Guidance and Coun</w:t>
      </w:r>
      <w:r>
        <w:rPr>
          <w:rFonts w:ascii="Calibri" w:eastAsia="Calibri" w:hAnsi="Calibri" w:cs="Calibri"/>
          <w:sz w:val="21"/>
          <w:szCs w:val="21"/>
        </w:rPr>
        <w:t>seling; and SEND Department United International Private School (UIPS) Dubai, United Arab Emirates January 2018 – Jun 2018</w:t>
      </w:r>
    </w:p>
    <w:p w:rsidR="00851C1B" w:rsidRDefault="00851C1B">
      <w:pPr>
        <w:spacing w:line="255" w:lineRule="exact"/>
        <w:rPr>
          <w:sz w:val="24"/>
          <w:szCs w:val="24"/>
        </w:rPr>
      </w:pPr>
    </w:p>
    <w:p w:rsidR="00851C1B" w:rsidRDefault="00C713A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Duties and Responsibilities</w:t>
      </w:r>
    </w:p>
    <w:p w:rsidR="00851C1B" w:rsidRDefault="00851C1B">
      <w:pPr>
        <w:spacing w:line="246" w:lineRule="exact"/>
        <w:rPr>
          <w:sz w:val="24"/>
          <w:szCs w:val="24"/>
        </w:rPr>
      </w:pPr>
    </w:p>
    <w:p w:rsidR="00851C1B" w:rsidRDefault="00C713A4">
      <w:pPr>
        <w:numPr>
          <w:ilvl w:val="0"/>
          <w:numId w:val="1"/>
        </w:numPr>
        <w:tabs>
          <w:tab w:val="left" w:pos="720"/>
        </w:tabs>
        <w:spacing w:line="181" w:lineRule="auto"/>
        <w:ind w:left="720" w:right="600" w:hanging="35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Assists the Head in the implementation of the different guidance services:</w:t>
      </w:r>
    </w:p>
    <w:p w:rsidR="00851C1B" w:rsidRDefault="00851C1B">
      <w:pPr>
        <w:spacing w:line="60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851C1B" w:rsidRDefault="00C713A4">
      <w:pPr>
        <w:numPr>
          <w:ilvl w:val="1"/>
          <w:numId w:val="1"/>
        </w:numPr>
        <w:tabs>
          <w:tab w:val="left" w:pos="1080"/>
        </w:tabs>
        <w:spacing w:line="212" w:lineRule="auto"/>
        <w:ind w:left="1080" w:right="480" w:hanging="358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Directs investigation of di</w:t>
      </w:r>
      <w:r>
        <w:rPr>
          <w:rFonts w:ascii="Calibri" w:eastAsia="Calibri" w:hAnsi="Calibri" w:cs="Calibri"/>
          <w:sz w:val="21"/>
          <w:szCs w:val="21"/>
        </w:rPr>
        <w:t>sciplinary cases and recommends penalties in accordance with Student’s</w:t>
      </w:r>
    </w:p>
    <w:p w:rsidR="00851C1B" w:rsidRDefault="00851C1B">
      <w:pPr>
        <w:spacing w:line="2" w:lineRule="exact"/>
        <w:rPr>
          <w:rFonts w:ascii="Symbol" w:eastAsia="Symbol" w:hAnsi="Symbol" w:cs="Symbol"/>
          <w:sz w:val="21"/>
          <w:szCs w:val="21"/>
        </w:rPr>
      </w:pPr>
    </w:p>
    <w:p w:rsidR="00851C1B" w:rsidRDefault="00C713A4">
      <w:pPr>
        <w:spacing w:line="238" w:lineRule="auto"/>
        <w:ind w:left="108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Handbook and school policies;</w:t>
      </w:r>
    </w:p>
    <w:p w:rsidR="00851C1B" w:rsidRDefault="00851C1B">
      <w:pPr>
        <w:spacing w:line="63" w:lineRule="exact"/>
        <w:rPr>
          <w:rFonts w:ascii="Symbol" w:eastAsia="Symbol" w:hAnsi="Symbol" w:cs="Symbol"/>
          <w:sz w:val="21"/>
          <w:szCs w:val="21"/>
        </w:rPr>
      </w:pPr>
    </w:p>
    <w:p w:rsidR="00851C1B" w:rsidRDefault="00C713A4">
      <w:pPr>
        <w:numPr>
          <w:ilvl w:val="1"/>
          <w:numId w:val="1"/>
        </w:numPr>
        <w:tabs>
          <w:tab w:val="left" w:pos="1080"/>
        </w:tabs>
        <w:spacing w:line="212" w:lineRule="auto"/>
        <w:ind w:left="1080" w:right="220" w:hanging="358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Arranges meetings with parents and written reports on the children’s progress</w:t>
      </w:r>
      <w:r>
        <w:rPr>
          <w:rFonts w:ascii="Calibri" w:eastAsia="Calibri" w:hAnsi="Calibri" w:cs="Calibri"/>
          <w:b/>
          <w:bCs/>
          <w:sz w:val="21"/>
          <w:szCs w:val="21"/>
        </w:rPr>
        <w:t>;</w:t>
      </w:r>
    </w:p>
    <w:p w:rsidR="00851C1B" w:rsidRDefault="00851C1B">
      <w:pPr>
        <w:spacing w:line="60" w:lineRule="exact"/>
        <w:rPr>
          <w:rFonts w:ascii="Symbol" w:eastAsia="Symbol" w:hAnsi="Symbol" w:cs="Symbol"/>
          <w:sz w:val="21"/>
          <w:szCs w:val="21"/>
        </w:rPr>
      </w:pPr>
    </w:p>
    <w:p w:rsidR="00851C1B" w:rsidRDefault="00C713A4">
      <w:pPr>
        <w:numPr>
          <w:ilvl w:val="1"/>
          <w:numId w:val="1"/>
        </w:numPr>
        <w:tabs>
          <w:tab w:val="left" w:pos="1080"/>
        </w:tabs>
        <w:spacing w:line="221" w:lineRule="auto"/>
        <w:ind w:left="1080" w:hanging="358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Recommends meetings with parents as the need arises to facilitate flow of</w:t>
      </w:r>
      <w:r>
        <w:rPr>
          <w:rFonts w:ascii="Calibri" w:eastAsia="Calibri" w:hAnsi="Calibri" w:cs="Calibri"/>
          <w:sz w:val="21"/>
          <w:szCs w:val="21"/>
        </w:rPr>
        <w:t xml:space="preserve"> communication between home and school.</w:t>
      </w:r>
    </w:p>
    <w:p w:rsidR="00851C1B" w:rsidRDefault="00851C1B">
      <w:pPr>
        <w:spacing w:line="263" w:lineRule="exact"/>
        <w:rPr>
          <w:sz w:val="24"/>
          <w:szCs w:val="24"/>
        </w:rPr>
      </w:pPr>
    </w:p>
    <w:p w:rsidR="00851C1B" w:rsidRDefault="00C713A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Guidance Counselor</w:t>
      </w:r>
    </w:p>
    <w:p w:rsidR="00851C1B" w:rsidRDefault="00C713A4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Guidance and Counseling Center</w:t>
      </w:r>
    </w:p>
    <w:p w:rsidR="00851C1B" w:rsidRDefault="00851C1B">
      <w:pPr>
        <w:spacing w:line="2" w:lineRule="exact"/>
        <w:rPr>
          <w:sz w:val="24"/>
          <w:szCs w:val="24"/>
        </w:rPr>
      </w:pPr>
    </w:p>
    <w:p w:rsidR="00851C1B" w:rsidRDefault="00C713A4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University of the East Ramon Magsaysay MMCI.</w:t>
      </w:r>
    </w:p>
    <w:p w:rsidR="00851C1B" w:rsidRDefault="00851C1B">
      <w:pPr>
        <w:spacing w:line="1" w:lineRule="exact"/>
        <w:rPr>
          <w:sz w:val="24"/>
          <w:szCs w:val="24"/>
        </w:rPr>
      </w:pPr>
    </w:p>
    <w:p w:rsidR="00851C1B" w:rsidRDefault="00C713A4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2nd Floor, 64 Aurora Blvd, Quezon City</w:t>
      </w:r>
    </w:p>
    <w:p w:rsidR="00851C1B" w:rsidRDefault="00851C1B">
      <w:pPr>
        <w:spacing w:line="1" w:lineRule="exact"/>
        <w:rPr>
          <w:sz w:val="24"/>
          <w:szCs w:val="24"/>
        </w:rPr>
      </w:pPr>
    </w:p>
    <w:p w:rsidR="00851C1B" w:rsidRDefault="00C713A4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July 7, 2014 – January 31, 2018</w:t>
      </w:r>
    </w:p>
    <w:p w:rsidR="00851C1B" w:rsidRDefault="00851C1B">
      <w:pPr>
        <w:spacing w:line="218" w:lineRule="exact"/>
        <w:rPr>
          <w:sz w:val="24"/>
          <w:szCs w:val="24"/>
        </w:rPr>
      </w:pPr>
    </w:p>
    <w:p w:rsidR="00851C1B" w:rsidRDefault="00C713A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Office of Student Affairs Staff</w:t>
      </w:r>
    </w:p>
    <w:p w:rsidR="00851C1B" w:rsidRDefault="00851C1B">
      <w:pPr>
        <w:spacing w:line="1" w:lineRule="exact"/>
        <w:rPr>
          <w:sz w:val="24"/>
          <w:szCs w:val="24"/>
        </w:rPr>
      </w:pPr>
    </w:p>
    <w:p w:rsidR="00851C1B" w:rsidRDefault="00C713A4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Office of </w:t>
      </w:r>
      <w:r>
        <w:rPr>
          <w:rFonts w:ascii="Calibri" w:eastAsia="Calibri" w:hAnsi="Calibri" w:cs="Calibri"/>
          <w:sz w:val="18"/>
          <w:szCs w:val="18"/>
        </w:rPr>
        <w:t>Student Affairs/ SPS</w:t>
      </w:r>
    </w:p>
    <w:p w:rsidR="00851C1B" w:rsidRDefault="00851C1B">
      <w:pPr>
        <w:spacing w:line="1" w:lineRule="exact"/>
        <w:rPr>
          <w:sz w:val="24"/>
          <w:szCs w:val="24"/>
        </w:rPr>
      </w:pPr>
    </w:p>
    <w:p w:rsidR="00851C1B" w:rsidRDefault="00C713A4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Technological Institute of the Philippines</w:t>
      </w:r>
    </w:p>
    <w:p w:rsidR="00851C1B" w:rsidRDefault="00C713A4">
      <w:pPr>
        <w:spacing w:line="209" w:lineRule="auto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2</w:t>
      </w:r>
      <w:r>
        <w:rPr>
          <w:rFonts w:ascii="Calibri" w:eastAsia="Calibri" w:hAnsi="Calibri" w:cs="Calibri"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sz w:val="18"/>
          <w:szCs w:val="18"/>
        </w:rPr>
        <w:t xml:space="preserve"> Floor, 1338 Arlegui St., Quiapo, Manila</w:t>
      </w:r>
    </w:p>
    <w:p w:rsidR="00851C1B" w:rsidRDefault="00C713A4">
      <w:pPr>
        <w:spacing w:line="198" w:lineRule="auto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Nov. 25, 2013 – May 7, 2014</w:t>
      </w:r>
    </w:p>
    <w:p w:rsidR="00851C1B" w:rsidRDefault="00851C1B">
      <w:pPr>
        <w:spacing w:line="223" w:lineRule="exact"/>
        <w:rPr>
          <w:sz w:val="24"/>
          <w:szCs w:val="24"/>
        </w:rPr>
      </w:pPr>
    </w:p>
    <w:p w:rsidR="00851C1B" w:rsidRDefault="00C713A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Guidance Services Facilitator I</w:t>
      </w:r>
    </w:p>
    <w:p w:rsidR="00851C1B" w:rsidRDefault="00851C1B">
      <w:pPr>
        <w:spacing w:line="1" w:lineRule="exact"/>
        <w:rPr>
          <w:sz w:val="24"/>
          <w:szCs w:val="24"/>
        </w:rPr>
      </w:pPr>
    </w:p>
    <w:p w:rsidR="00851C1B" w:rsidRDefault="00C713A4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Guidance and Counseling Center</w:t>
      </w:r>
    </w:p>
    <w:p w:rsidR="00851C1B" w:rsidRDefault="00851C1B">
      <w:pPr>
        <w:spacing w:line="1" w:lineRule="exact"/>
        <w:rPr>
          <w:sz w:val="24"/>
          <w:szCs w:val="24"/>
        </w:rPr>
      </w:pPr>
    </w:p>
    <w:p w:rsidR="00851C1B" w:rsidRDefault="00C713A4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Technological Institute of the Philippines</w:t>
      </w:r>
    </w:p>
    <w:p w:rsidR="00851C1B" w:rsidRDefault="00C713A4">
      <w:pPr>
        <w:spacing w:line="209" w:lineRule="auto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2</w:t>
      </w:r>
      <w:r>
        <w:rPr>
          <w:rFonts w:ascii="Calibri" w:eastAsia="Calibri" w:hAnsi="Calibri" w:cs="Calibri"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sz w:val="18"/>
          <w:szCs w:val="18"/>
        </w:rPr>
        <w:t xml:space="preserve"> Floor, 1338 Arlegui St., Quiapo, Manila</w:t>
      </w:r>
    </w:p>
    <w:p w:rsidR="00851C1B" w:rsidRDefault="00C713A4">
      <w:pPr>
        <w:spacing w:line="198" w:lineRule="auto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June 13, 2013 – Nov. 13, 2013</w:t>
      </w:r>
    </w:p>
    <w:p w:rsidR="00851C1B" w:rsidRDefault="00851C1B">
      <w:pPr>
        <w:spacing w:line="222" w:lineRule="exact"/>
        <w:rPr>
          <w:sz w:val="24"/>
          <w:szCs w:val="24"/>
        </w:rPr>
      </w:pPr>
    </w:p>
    <w:p w:rsidR="00851C1B" w:rsidRDefault="00C713A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Service Crew</w:t>
      </w:r>
    </w:p>
    <w:p w:rsidR="00851C1B" w:rsidRDefault="00C713A4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Jollibee Manila City Plaza</w:t>
      </w:r>
    </w:p>
    <w:p w:rsidR="00851C1B" w:rsidRDefault="00851C1B">
      <w:pPr>
        <w:spacing w:line="2" w:lineRule="exact"/>
        <w:rPr>
          <w:sz w:val="24"/>
          <w:szCs w:val="24"/>
        </w:rPr>
      </w:pPr>
    </w:p>
    <w:p w:rsidR="00851C1B" w:rsidRDefault="00C713A4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Jollibee Foods Corporation</w:t>
      </w:r>
    </w:p>
    <w:p w:rsidR="00851C1B" w:rsidRDefault="00851C1B">
      <w:pPr>
        <w:spacing w:line="40" w:lineRule="exact"/>
        <w:rPr>
          <w:sz w:val="24"/>
          <w:szCs w:val="24"/>
        </w:rPr>
      </w:pPr>
    </w:p>
    <w:p w:rsidR="00851C1B" w:rsidRDefault="00C713A4">
      <w:pPr>
        <w:spacing w:line="219" w:lineRule="auto"/>
        <w:ind w:right="218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  <w:highlight w:val="white"/>
        </w:rPr>
        <w:t xml:space="preserve">3rd Floor, Manila City Plaza Building, Quiapo, Manila </w:t>
      </w:r>
      <w:r>
        <w:rPr>
          <w:rFonts w:ascii="Calibri" w:eastAsia="Calibri" w:hAnsi="Calibri" w:cs="Calibri"/>
          <w:sz w:val="18"/>
          <w:szCs w:val="18"/>
        </w:rPr>
        <w:t>June 2009 - Dec. 2009</w:t>
      </w:r>
    </w:p>
    <w:p w:rsidR="00851C1B" w:rsidRDefault="00851C1B">
      <w:pPr>
        <w:sectPr w:rsidR="00851C1B">
          <w:pgSz w:w="12240" w:h="15840"/>
          <w:pgMar w:top="741" w:right="820" w:bottom="521" w:left="720" w:header="0" w:footer="0" w:gutter="0"/>
          <w:cols w:num="2" w:space="720" w:equalWidth="0">
            <w:col w:w="4460" w:space="220"/>
            <w:col w:w="6020"/>
          </w:cols>
        </w:sectPr>
      </w:pPr>
    </w:p>
    <w:p w:rsidR="00851C1B" w:rsidRDefault="00C713A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377825</wp:posOffset>
            </wp:positionH>
            <wp:positionV relativeFrom="page">
              <wp:posOffset>457200</wp:posOffset>
            </wp:positionV>
            <wp:extent cx="6882130" cy="8580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130" cy="858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</w:rPr>
        <w:t>AFFILIATION:</w:t>
      </w:r>
    </w:p>
    <w:p w:rsidR="00851C1B" w:rsidRDefault="00851C1B">
      <w:pPr>
        <w:spacing w:line="202" w:lineRule="exact"/>
        <w:rPr>
          <w:sz w:val="20"/>
          <w:szCs w:val="20"/>
        </w:rPr>
      </w:pPr>
    </w:p>
    <w:p w:rsidR="00851C1B" w:rsidRDefault="00C713A4">
      <w:pPr>
        <w:ind w:left="1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Philippine Guidance and Counseling Association (PGCA)</w:t>
      </w:r>
    </w:p>
    <w:p w:rsidR="00851C1B" w:rsidRDefault="00C713A4">
      <w:pPr>
        <w:numPr>
          <w:ilvl w:val="0"/>
          <w:numId w:val="2"/>
        </w:numPr>
        <w:tabs>
          <w:tab w:val="left" w:pos="2880"/>
        </w:tabs>
        <w:spacing w:line="181" w:lineRule="auto"/>
        <w:ind w:left="2880" w:hanging="35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Licensed Regular Member</w:t>
      </w:r>
    </w:p>
    <w:p w:rsidR="00851C1B" w:rsidRDefault="00851C1B">
      <w:pPr>
        <w:spacing w:line="270" w:lineRule="exact"/>
        <w:rPr>
          <w:sz w:val="20"/>
          <w:szCs w:val="20"/>
        </w:rPr>
      </w:pPr>
    </w:p>
    <w:p w:rsidR="00851C1B" w:rsidRDefault="00C713A4">
      <w:pPr>
        <w:ind w:left="1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Psychological Society of the Philippines, Dubai Chapter, United Arab Emirates (PSP)</w:t>
      </w:r>
    </w:p>
    <w:p w:rsidR="00851C1B" w:rsidRDefault="00C713A4">
      <w:pPr>
        <w:numPr>
          <w:ilvl w:val="0"/>
          <w:numId w:val="3"/>
        </w:numPr>
        <w:tabs>
          <w:tab w:val="left" w:pos="2880"/>
        </w:tabs>
        <w:spacing w:line="182" w:lineRule="auto"/>
        <w:ind w:left="2880" w:hanging="35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Board Member</w:t>
      </w:r>
    </w:p>
    <w:p w:rsidR="00851C1B" w:rsidRDefault="00851C1B">
      <w:pPr>
        <w:spacing w:line="192" w:lineRule="exact"/>
        <w:rPr>
          <w:sz w:val="20"/>
          <w:szCs w:val="20"/>
        </w:rPr>
      </w:pPr>
    </w:p>
    <w:p w:rsidR="00851C1B" w:rsidRDefault="00C713A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SEMINARS ATTENDED </w:t>
      </w:r>
      <w:r>
        <w:rPr>
          <w:rFonts w:ascii="Calibri" w:eastAsia="Calibri" w:hAnsi="Calibri" w:cs="Calibri"/>
          <w:b/>
          <w:bCs/>
          <w:sz w:val="23"/>
          <w:szCs w:val="23"/>
        </w:rPr>
        <w:t>:</w:t>
      </w:r>
    </w:p>
    <w:p w:rsidR="00851C1B" w:rsidRDefault="00C713A4">
      <w:pPr>
        <w:numPr>
          <w:ilvl w:val="0"/>
          <w:numId w:val="4"/>
        </w:numPr>
        <w:tabs>
          <w:tab w:val="left" w:pos="1440"/>
        </w:tabs>
        <w:spacing w:line="225" w:lineRule="auto"/>
        <w:ind w:left="1440" w:hanging="36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The Psychological Association of the Philippines Junior </w:t>
      </w:r>
      <w:r>
        <w:rPr>
          <w:rFonts w:ascii="Calibri" w:eastAsia="Calibri" w:hAnsi="Calibri" w:cs="Calibri"/>
          <w:b/>
          <w:bCs/>
          <w:sz w:val="23"/>
          <w:szCs w:val="23"/>
        </w:rPr>
        <w:t>Affiliates (PAPJA)</w:t>
      </w:r>
    </w:p>
    <w:p w:rsidR="00851C1B" w:rsidRDefault="00851C1B">
      <w:pPr>
        <w:spacing w:line="55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851C1B" w:rsidRDefault="00C713A4">
      <w:pPr>
        <w:spacing w:line="195" w:lineRule="auto"/>
        <w:ind w:left="110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“Strengthening Psychology, Serving the Nation “</w:t>
      </w:r>
    </w:p>
    <w:p w:rsidR="00851C1B" w:rsidRDefault="00851C1B">
      <w:pPr>
        <w:spacing w:line="52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851C1B" w:rsidRDefault="00C713A4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The Psychological Association of the Philippines Junior Affiliates (PAPJA)</w:t>
      </w:r>
    </w:p>
    <w:p w:rsidR="00851C1B" w:rsidRDefault="00851C1B">
      <w:pPr>
        <w:spacing w:line="49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851C1B" w:rsidRDefault="00C713A4">
      <w:pPr>
        <w:spacing w:line="195" w:lineRule="auto"/>
        <w:ind w:left="112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“12 Steps – A Spiritual Counseling Approach“</w:t>
      </w:r>
    </w:p>
    <w:p w:rsidR="00851C1B" w:rsidRDefault="00851C1B">
      <w:pPr>
        <w:spacing w:line="51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851C1B" w:rsidRDefault="00C713A4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The Psychological Association of the Philippines Junior </w:t>
      </w:r>
      <w:r>
        <w:rPr>
          <w:rFonts w:ascii="Calibri" w:eastAsia="Calibri" w:hAnsi="Calibri" w:cs="Calibri"/>
          <w:b/>
          <w:bCs/>
          <w:sz w:val="23"/>
          <w:szCs w:val="23"/>
        </w:rPr>
        <w:t>Affiliates (PAPJA)</w:t>
      </w:r>
    </w:p>
    <w:p w:rsidR="00851C1B" w:rsidRDefault="00851C1B">
      <w:pPr>
        <w:spacing w:line="54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851C1B" w:rsidRDefault="00C713A4">
      <w:pPr>
        <w:spacing w:line="195" w:lineRule="auto"/>
        <w:ind w:left="114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“Building Hope and Resilience“</w:t>
      </w:r>
    </w:p>
    <w:p w:rsidR="00851C1B" w:rsidRDefault="00851C1B">
      <w:pPr>
        <w:spacing w:line="334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851C1B" w:rsidRDefault="00C713A4">
      <w:pPr>
        <w:numPr>
          <w:ilvl w:val="0"/>
          <w:numId w:val="4"/>
        </w:numPr>
        <w:tabs>
          <w:tab w:val="left" w:pos="1441"/>
        </w:tabs>
        <w:spacing w:line="182" w:lineRule="auto"/>
        <w:ind w:left="1080" w:right="174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The Psychological Association of the Philippines Junior Affiliates (PAPJA) </w:t>
      </w:r>
      <w:r>
        <w:rPr>
          <w:rFonts w:ascii="Calibri" w:eastAsia="Calibri" w:hAnsi="Calibri" w:cs="Calibri"/>
          <w:sz w:val="20"/>
          <w:szCs w:val="20"/>
        </w:rPr>
        <w:t>"Being Happy in Psychology: Life After your Bachelor’s Degree”</w:t>
      </w:r>
    </w:p>
    <w:p w:rsidR="00851C1B" w:rsidRDefault="00851C1B">
      <w:pPr>
        <w:spacing w:line="5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851C1B" w:rsidRDefault="00C713A4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Technological Institute of the Philippines</w:t>
      </w:r>
    </w:p>
    <w:p w:rsidR="00851C1B" w:rsidRDefault="00851C1B">
      <w:pPr>
        <w:spacing w:line="2" w:lineRule="exact"/>
        <w:rPr>
          <w:sz w:val="20"/>
          <w:szCs w:val="20"/>
        </w:rPr>
      </w:pPr>
    </w:p>
    <w:p w:rsidR="00851C1B" w:rsidRDefault="00C713A4">
      <w:p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"Effective Public </w:t>
      </w:r>
      <w:r>
        <w:rPr>
          <w:rFonts w:ascii="Calibri" w:eastAsia="Calibri" w:hAnsi="Calibri" w:cs="Calibri"/>
          <w:sz w:val="23"/>
          <w:szCs w:val="23"/>
        </w:rPr>
        <w:t>Speaking for Career Talk Speakers"</w:t>
      </w:r>
    </w:p>
    <w:p w:rsidR="00851C1B" w:rsidRDefault="00851C1B">
      <w:pPr>
        <w:spacing w:line="333" w:lineRule="exact"/>
        <w:rPr>
          <w:sz w:val="20"/>
          <w:szCs w:val="20"/>
        </w:rPr>
      </w:pPr>
    </w:p>
    <w:p w:rsidR="00851C1B" w:rsidRDefault="00C713A4">
      <w:pPr>
        <w:numPr>
          <w:ilvl w:val="0"/>
          <w:numId w:val="5"/>
        </w:numPr>
        <w:tabs>
          <w:tab w:val="left" w:pos="1441"/>
        </w:tabs>
        <w:spacing w:line="182" w:lineRule="auto"/>
        <w:ind w:left="1080" w:right="474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Technological Institute of the Philippines </w:t>
      </w:r>
      <w:r>
        <w:rPr>
          <w:rFonts w:ascii="Calibri" w:eastAsia="Calibri" w:hAnsi="Calibri" w:cs="Calibri"/>
          <w:sz w:val="20"/>
          <w:szCs w:val="20"/>
        </w:rPr>
        <w:t>"Time and Stress Management"</w:t>
      </w:r>
    </w:p>
    <w:p w:rsidR="00851C1B" w:rsidRDefault="00851C1B">
      <w:pPr>
        <w:spacing w:line="335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851C1B" w:rsidRDefault="00C713A4">
      <w:pPr>
        <w:numPr>
          <w:ilvl w:val="0"/>
          <w:numId w:val="5"/>
        </w:numPr>
        <w:tabs>
          <w:tab w:val="left" w:pos="1441"/>
        </w:tabs>
        <w:spacing w:line="184" w:lineRule="auto"/>
        <w:ind w:left="1080" w:right="188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University of the East Ramon Magsaysay Memorial Medical Center Inc. </w:t>
      </w:r>
      <w:r>
        <w:rPr>
          <w:rFonts w:ascii="Calibri" w:eastAsia="Calibri" w:hAnsi="Calibri" w:cs="Calibri"/>
          <w:sz w:val="20"/>
          <w:szCs w:val="20"/>
        </w:rPr>
        <w:t>"Effective Business Writing"</w:t>
      </w:r>
    </w:p>
    <w:p w:rsidR="00851C1B" w:rsidRDefault="00851C1B">
      <w:pPr>
        <w:spacing w:line="52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851C1B" w:rsidRDefault="00C713A4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Philippine Guidance and Counseling Association</w:t>
      </w:r>
    </w:p>
    <w:p w:rsidR="00851C1B" w:rsidRDefault="00C713A4">
      <w:pPr>
        <w:spacing w:line="237" w:lineRule="auto"/>
        <w:ind w:left="102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“Evidence-Based Counseling: Current Directions, Practices, and Challenges”</w:t>
      </w:r>
    </w:p>
    <w:p w:rsidR="00851C1B" w:rsidRDefault="00851C1B">
      <w:pPr>
        <w:spacing w:line="139" w:lineRule="exact"/>
        <w:rPr>
          <w:sz w:val="20"/>
          <w:szCs w:val="20"/>
        </w:rPr>
      </w:pPr>
    </w:p>
    <w:p w:rsidR="00851C1B" w:rsidRDefault="00C713A4">
      <w:pPr>
        <w:numPr>
          <w:ilvl w:val="0"/>
          <w:numId w:val="6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Philippine Guidance and Counseling Association</w:t>
      </w:r>
    </w:p>
    <w:p w:rsidR="00851C1B" w:rsidRDefault="00C713A4">
      <w:pPr>
        <w:spacing w:line="237" w:lineRule="auto"/>
        <w:ind w:left="102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“#PGCA: Counseling Practices for Global Competitiveness”</w:t>
      </w:r>
    </w:p>
    <w:p w:rsidR="00851C1B" w:rsidRDefault="00851C1B">
      <w:pPr>
        <w:spacing w:line="139" w:lineRule="exact"/>
        <w:rPr>
          <w:sz w:val="20"/>
          <w:szCs w:val="20"/>
        </w:rPr>
      </w:pPr>
    </w:p>
    <w:p w:rsidR="00851C1B" w:rsidRDefault="00C713A4">
      <w:pPr>
        <w:numPr>
          <w:ilvl w:val="0"/>
          <w:numId w:val="7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Child Early Intervention Medical Center, Dubai, United Arab Emirates</w:t>
      </w:r>
    </w:p>
    <w:p w:rsidR="00851C1B" w:rsidRDefault="00851C1B">
      <w:pPr>
        <w:spacing w:line="92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851C1B" w:rsidRDefault="00C713A4">
      <w:pPr>
        <w:spacing w:line="195" w:lineRule="auto"/>
        <w:ind w:left="108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“Auti</w:t>
      </w:r>
      <w:r>
        <w:rPr>
          <w:rFonts w:ascii="Calibri" w:eastAsia="Calibri" w:hAnsi="Calibri" w:cs="Calibri"/>
          <w:sz w:val="23"/>
          <w:szCs w:val="23"/>
        </w:rPr>
        <w:t>sm and Best Practice in Early Intervention”</w:t>
      </w:r>
    </w:p>
    <w:p w:rsidR="00851C1B" w:rsidRDefault="00851C1B">
      <w:pPr>
        <w:spacing w:line="138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851C1B" w:rsidRDefault="00C713A4">
      <w:pPr>
        <w:numPr>
          <w:ilvl w:val="0"/>
          <w:numId w:val="7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Curtin University</w:t>
      </w:r>
    </w:p>
    <w:p w:rsidR="00851C1B" w:rsidRDefault="00851C1B">
      <w:pPr>
        <w:spacing w:line="92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851C1B" w:rsidRDefault="00C713A4">
      <w:pPr>
        <w:spacing w:line="195" w:lineRule="auto"/>
        <w:ind w:left="144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“Beyond the Glass Ceiling: Inspiration and Strategies by Women of Wisdom”</w:t>
      </w:r>
    </w:p>
    <w:p w:rsidR="00851C1B" w:rsidRDefault="00851C1B">
      <w:pPr>
        <w:spacing w:line="370" w:lineRule="exact"/>
        <w:rPr>
          <w:sz w:val="20"/>
          <w:szCs w:val="20"/>
        </w:rPr>
      </w:pPr>
    </w:p>
    <w:p w:rsidR="00851C1B" w:rsidRDefault="00851C1B">
      <w:pPr>
        <w:spacing w:line="200" w:lineRule="exact"/>
        <w:rPr>
          <w:sz w:val="20"/>
          <w:szCs w:val="20"/>
        </w:rPr>
      </w:pPr>
    </w:p>
    <w:p w:rsidR="00851C1B" w:rsidRDefault="00851C1B">
      <w:pPr>
        <w:ind w:left="7480"/>
        <w:rPr>
          <w:sz w:val="20"/>
          <w:szCs w:val="20"/>
        </w:rPr>
      </w:pPr>
    </w:p>
    <w:sectPr w:rsidR="00851C1B" w:rsidSect="00851C1B">
      <w:pgSz w:w="12240" w:h="15840"/>
      <w:pgMar w:top="745" w:right="1440" w:bottom="1440" w:left="72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C902D3FC"/>
    <w:lvl w:ilvl="0" w:tplc="FC9C8F74">
      <w:start w:val="1"/>
      <w:numFmt w:val="bullet"/>
      <w:lvlText w:val=""/>
      <w:lvlJc w:val="left"/>
    </w:lvl>
    <w:lvl w:ilvl="1" w:tplc="FC8E72AC">
      <w:numFmt w:val="decimal"/>
      <w:lvlText w:val=""/>
      <w:lvlJc w:val="left"/>
    </w:lvl>
    <w:lvl w:ilvl="2" w:tplc="ACC80972">
      <w:numFmt w:val="decimal"/>
      <w:lvlText w:val=""/>
      <w:lvlJc w:val="left"/>
    </w:lvl>
    <w:lvl w:ilvl="3" w:tplc="B0567940">
      <w:numFmt w:val="decimal"/>
      <w:lvlText w:val=""/>
      <w:lvlJc w:val="left"/>
    </w:lvl>
    <w:lvl w:ilvl="4" w:tplc="04D488DA">
      <w:numFmt w:val="decimal"/>
      <w:lvlText w:val=""/>
      <w:lvlJc w:val="left"/>
    </w:lvl>
    <w:lvl w:ilvl="5" w:tplc="990E586A">
      <w:numFmt w:val="decimal"/>
      <w:lvlText w:val=""/>
      <w:lvlJc w:val="left"/>
    </w:lvl>
    <w:lvl w:ilvl="6" w:tplc="42A0457E">
      <w:numFmt w:val="decimal"/>
      <w:lvlText w:val=""/>
      <w:lvlJc w:val="left"/>
    </w:lvl>
    <w:lvl w:ilvl="7" w:tplc="4014A4B6">
      <w:numFmt w:val="decimal"/>
      <w:lvlText w:val=""/>
      <w:lvlJc w:val="left"/>
    </w:lvl>
    <w:lvl w:ilvl="8" w:tplc="6D8E61FC">
      <w:numFmt w:val="decimal"/>
      <w:lvlText w:val=""/>
      <w:lvlJc w:val="left"/>
    </w:lvl>
  </w:abstractNum>
  <w:abstractNum w:abstractNumId="1">
    <w:nsid w:val="000041BB"/>
    <w:multiLevelType w:val="hybridMultilevel"/>
    <w:tmpl w:val="9E4EAB10"/>
    <w:lvl w:ilvl="0" w:tplc="02DE63D8">
      <w:start w:val="1"/>
      <w:numFmt w:val="bullet"/>
      <w:lvlText w:val=""/>
      <w:lvlJc w:val="left"/>
    </w:lvl>
    <w:lvl w:ilvl="1" w:tplc="E2C2AD80">
      <w:numFmt w:val="decimal"/>
      <w:lvlText w:val=""/>
      <w:lvlJc w:val="left"/>
    </w:lvl>
    <w:lvl w:ilvl="2" w:tplc="B976777E">
      <w:numFmt w:val="decimal"/>
      <w:lvlText w:val=""/>
      <w:lvlJc w:val="left"/>
    </w:lvl>
    <w:lvl w:ilvl="3" w:tplc="7F4E70E0">
      <w:numFmt w:val="decimal"/>
      <w:lvlText w:val=""/>
      <w:lvlJc w:val="left"/>
    </w:lvl>
    <w:lvl w:ilvl="4" w:tplc="DB3E87B8">
      <w:numFmt w:val="decimal"/>
      <w:lvlText w:val=""/>
      <w:lvlJc w:val="left"/>
    </w:lvl>
    <w:lvl w:ilvl="5" w:tplc="4342CFC4">
      <w:numFmt w:val="decimal"/>
      <w:lvlText w:val=""/>
      <w:lvlJc w:val="left"/>
    </w:lvl>
    <w:lvl w:ilvl="6" w:tplc="3B7EB3A0">
      <w:numFmt w:val="decimal"/>
      <w:lvlText w:val=""/>
      <w:lvlJc w:val="left"/>
    </w:lvl>
    <w:lvl w:ilvl="7" w:tplc="9982A832">
      <w:numFmt w:val="decimal"/>
      <w:lvlText w:val=""/>
      <w:lvlJc w:val="left"/>
    </w:lvl>
    <w:lvl w:ilvl="8" w:tplc="008EB030">
      <w:numFmt w:val="decimal"/>
      <w:lvlText w:val=""/>
      <w:lvlJc w:val="left"/>
    </w:lvl>
  </w:abstractNum>
  <w:abstractNum w:abstractNumId="2">
    <w:nsid w:val="00005AF1"/>
    <w:multiLevelType w:val="hybridMultilevel"/>
    <w:tmpl w:val="9EFCC830"/>
    <w:lvl w:ilvl="0" w:tplc="8782F588">
      <w:start w:val="1"/>
      <w:numFmt w:val="bullet"/>
      <w:lvlText w:val=""/>
      <w:lvlJc w:val="left"/>
    </w:lvl>
    <w:lvl w:ilvl="1" w:tplc="0720B3FA">
      <w:numFmt w:val="decimal"/>
      <w:lvlText w:val=""/>
      <w:lvlJc w:val="left"/>
    </w:lvl>
    <w:lvl w:ilvl="2" w:tplc="2F9E5100">
      <w:numFmt w:val="decimal"/>
      <w:lvlText w:val=""/>
      <w:lvlJc w:val="left"/>
    </w:lvl>
    <w:lvl w:ilvl="3" w:tplc="0462A602">
      <w:numFmt w:val="decimal"/>
      <w:lvlText w:val=""/>
      <w:lvlJc w:val="left"/>
    </w:lvl>
    <w:lvl w:ilvl="4" w:tplc="17FEC518">
      <w:numFmt w:val="decimal"/>
      <w:lvlText w:val=""/>
      <w:lvlJc w:val="left"/>
    </w:lvl>
    <w:lvl w:ilvl="5" w:tplc="E0EAFA34">
      <w:numFmt w:val="decimal"/>
      <w:lvlText w:val=""/>
      <w:lvlJc w:val="left"/>
    </w:lvl>
    <w:lvl w:ilvl="6" w:tplc="2AFC545E">
      <w:numFmt w:val="decimal"/>
      <w:lvlText w:val=""/>
      <w:lvlJc w:val="left"/>
    </w:lvl>
    <w:lvl w:ilvl="7" w:tplc="03CAB17E">
      <w:numFmt w:val="decimal"/>
      <w:lvlText w:val=""/>
      <w:lvlJc w:val="left"/>
    </w:lvl>
    <w:lvl w:ilvl="8" w:tplc="BD085762">
      <w:numFmt w:val="decimal"/>
      <w:lvlText w:val=""/>
      <w:lvlJc w:val="left"/>
    </w:lvl>
  </w:abstractNum>
  <w:abstractNum w:abstractNumId="3">
    <w:nsid w:val="00005F90"/>
    <w:multiLevelType w:val="hybridMultilevel"/>
    <w:tmpl w:val="BEAEB4CA"/>
    <w:lvl w:ilvl="0" w:tplc="4E407CF2">
      <w:start w:val="1"/>
      <w:numFmt w:val="bullet"/>
      <w:lvlText w:val=""/>
      <w:lvlJc w:val="left"/>
    </w:lvl>
    <w:lvl w:ilvl="1" w:tplc="D7628C2E">
      <w:numFmt w:val="decimal"/>
      <w:lvlText w:val=""/>
      <w:lvlJc w:val="left"/>
    </w:lvl>
    <w:lvl w:ilvl="2" w:tplc="25884B14">
      <w:numFmt w:val="decimal"/>
      <w:lvlText w:val=""/>
      <w:lvlJc w:val="left"/>
    </w:lvl>
    <w:lvl w:ilvl="3" w:tplc="A740BC66">
      <w:numFmt w:val="decimal"/>
      <w:lvlText w:val=""/>
      <w:lvlJc w:val="left"/>
    </w:lvl>
    <w:lvl w:ilvl="4" w:tplc="3870ABF6">
      <w:numFmt w:val="decimal"/>
      <w:lvlText w:val=""/>
      <w:lvlJc w:val="left"/>
    </w:lvl>
    <w:lvl w:ilvl="5" w:tplc="7D36170A">
      <w:numFmt w:val="decimal"/>
      <w:lvlText w:val=""/>
      <w:lvlJc w:val="left"/>
    </w:lvl>
    <w:lvl w:ilvl="6" w:tplc="18525FDA">
      <w:numFmt w:val="decimal"/>
      <w:lvlText w:val=""/>
      <w:lvlJc w:val="left"/>
    </w:lvl>
    <w:lvl w:ilvl="7" w:tplc="9F8C6258">
      <w:numFmt w:val="decimal"/>
      <w:lvlText w:val=""/>
      <w:lvlJc w:val="left"/>
    </w:lvl>
    <w:lvl w:ilvl="8" w:tplc="4782B928">
      <w:numFmt w:val="decimal"/>
      <w:lvlText w:val=""/>
      <w:lvlJc w:val="left"/>
    </w:lvl>
  </w:abstractNum>
  <w:abstractNum w:abstractNumId="4">
    <w:nsid w:val="00006952"/>
    <w:multiLevelType w:val="hybridMultilevel"/>
    <w:tmpl w:val="5A1EB01C"/>
    <w:lvl w:ilvl="0" w:tplc="C16CD946">
      <w:start w:val="1"/>
      <w:numFmt w:val="bullet"/>
      <w:lvlText w:val=""/>
      <w:lvlJc w:val="left"/>
    </w:lvl>
    <w:lvl w:ilvl="1" w:tplc="CA9698EA">
      <w:numFmt w:val="decimal"/>
      <w:lvlText w:val=""/>
      <w:lvlJc w:val="left"/>
    </w:lvl>
    <w:lvl w:ilvl="2" w:tplc="EC88A8F4">
      <w:numFmt w:val="decimal"/>
      <w:lvlText w:val=""/>
      <w:lvlJc w:val="left"/>
    </w:lvl>
    <w:lvl w:ilvl="3" w:tplc="1D662588">
      <w:numFmt w:val="decimal"/>
      <w:lvlText w:val=""/>
      <w:lvlJc w:val="left"/>
    </w:lvl>
    <w:lvl w:ilvl="4" w:tplc="4C1A1584">
      <w:numFmt w:val="decimal"/>
      <w:lvlText w:val=""/>
      <w:lvlJc w:val="left"/>
    </w:lvl>
    <w:lvl w:ilvl="5" w:tplc="AD6E0916">
      <w:numFmt w:val="decimal"/>
      <w:lvlText w:val=""/>
      <w:lvlJc w:val="left"/>
    </w:lvl>
    <w:lvl w:ilvl="6" w:tplc="FC8410BC">
      <w:numFmt w:val="decimal"/>
      <w:lvlText w:val=""/>
      <w:lvlJc w:val="left"/>
    </w:lvl>
    <w:lvl w:ilvl="7" w:tplc="6A2EED62">
      <w:numFmt w:val="decimal"/>
      <w:lvlText w:val=""/>
      <w:lvlJc w:val="left"/>
    </w:lvl>
    <w:lvl w:ilvl="8" w:tplc="5A48FE0C">
      <w:numFmt w:val="decimal"/>
      <w:lvlText w:val=""/>
      <w:lvlJc w:val="left"/>
    </w:lvl>
  </w:abstractNum>
  <w:abstractNum w:abstractNumId="5">
    <w:nsid w:val="00006DF1"/>
    <w:multiLevelType w:val="hybridMultilevel"/>
    <w:tmpl w:val="895646AA"/>
    <w:lvl w:ilvl="0" w:tplc="5412A0A4">
      <w:start w:val="1"/>
      <w:numFmt w:val="bullet"/>
      <w:lvlText w:val=""/>
      <w:lvlJc w:val="left"/>
    </w:lvl>
    <w:lvl w:ilvl="1" w:tplc="2DB0440C">
      <w:numFmt w:val="decimal"/>
      <w:lvlText w:val=""/>
      <w:lvlJc w:val="left"/>
    </w:lvl>
    <w:lvl w:ilvl="2" w:tplc="F2C64E86">
      <w:numFmt w:val="decimal"/>
      <w:lvlText w:val=""/>
      <w:lvlJc w:val="left"/>
    </w:lvl>
    <w:lvl w:ilvl="3" w:tplc="D03AC394">
      <w:numFmt w:val="decimal"/>
      <w:lvlText w:val=""/>
      <w:lvlJc w:val="left"/>
    </w:lvl>
    <w:lvl w:ilvl="4" w:tplc="94F63598">
      <w:numFmt w:val="decimal"/>
      <w:lvlText w:val=""/>
      <w:lvlJc w:val="left"/>
    </w:lvl>
    <w:lvl w:ilvl="5" w:tplc="56AC7F82">
      <w:numFmt w:val="decimal"/>
      <w:lvlText w:val=""/>
      <w:lvlJc w:val="left"/>
    </w:lvl>
    <w:lvl w:ilvl="6" w:tplc="18388A70">
      <w:numFmt w:val="decimal"/>
      <w:lvlText w:val=""/>
      <w:lvlJc w:val="left"/>
    </w:lvl>
    <w:lvl w:ilvl="7" w:tplc="69F8C8F2">
      <w:numFmt w:val="decimal"/>
      <w:lvlText w:val=""/>
      <w:lvlJc w:val="left"/>
    </w:lvl>
    <w:lvl w:ilvl="8" w:tplc="6A2C9F58">
      <w:numFmt w:val="decimal"/>
      <w:lvlText w:val=""/>
      <w:lvlJc w:val="left"/>
    </w:lvl>
  </w:abstractNum>
  <w:abstractNum w:abstractNumId="6">
    <w:nsid w:val="000072AE"/>
    <w:multiLevelType w:val="hybridMultilevel"/>
    <w:tmpl w:val="CE24BFF4"/>
    <w:lvl w:ilvl="0" w:tplc="89AE50F8">
      <w:start w:val="1"/>
      <w:numFmt w:val="bullet"/>
      <w:lvlText w:val=""/>
      <w:lvlJc w:val="left"/>
    </w:lvl>
    <w:lvl w:ilvl="1" w:tplc="A15CB170">
      <w:start w:val="1"/>
      <w:numFmt w:val="bullet"/>
      <w:lvlText w:val=""/>
      <w:lvlJc w:val="left"/>
    </w:lvl>
    <w:lvl w:ilvl="2" w:tplc="AA727C26">
      <w:numFmt w:val="decimal"/>
      <w:lvlText w:val=""/>
      <w:lvlJc w:val="left"/>
    </w:lvl>
    <w:lvl w:ilvl="3" w:tplc="511AB466">
      <w:numFmt w:val="decimal"/>
      <w:lvlText w:val=""/>
      <w:lvlJc w:val="left"/>
    </w:lvl>
    <w:lvl w:ilvl="4" w:tplc="41608ADE">
      <w:numFmt w:val="decimal"/>
      <w:lvlText w:val=""/>
      <w:lvlJc w:val="left"/>
    </w:lvl>
    <w:lvl w:ilvl="5" w:tplc="E598AF82">
      <w:numFmt w:val="decimal"/>
      <w:lvlText w:val=""/>
      <w:lvlJc w:val="left"/>
    </w:lvl>
    <w:lvl w:ilvl="6" w:tplc="931048A0">
      <w:numFmt w:val="decimal"/>
      <w:lvlText w:val=""/>
      <w:lvlJc w:val="left"/>
    </w:lvl>
    <w:lvl w:ilvl="7" w:tplc="7BCE2DE6">
      <w:numFmt w:val="decimal"/>
      <w:lvlText w:val=""/>
      <w:lvlJc w:val="left"/>
    </w:lvl>
    <w:lvl w:ilvl="8" w:tplc="43C2E79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1C1B"/>
    <w:rsid w:val="00851C1B"/>
    <w:rsid w:val="00C7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elvin.381658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2018-07-03T09:23:00Z</dcterms:created>
  <dcterms:modified xsi:type="dcterms:W3CDTF">2018-07-03T07:27:00Z</dcterms:modified>
</cp:coreProperties>
</file>