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66" w:rsidRDefault="003F0B66">
      <w:pPr>
        <w:spacing w:line="15" w:lineRule="exact"/>
        <w:rPr>
          <w:sz w:val="24"/>
          <w:szCs w:val="24"/>
        </w:rPr>
      </w:pPr>
    </w:p>
    <w:p w:rsidR="003F0B66" w:rsidRDefault="00F915F7">
      <w:pPr>
        <w:ind w:right="20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36"/>
          <w:szCs w:val="36"/>
          <w:u w:val="single"/>
        </w:rPr>
        <w:t xml:space="preserve">JYOTI </w:t>
      </w:r>
    </w:p>
    <w:p w:rsidR="003F0B66" w:rsidRDefault="003F0B66">
      <w:pPr>
        <w:spacing w:line="45" w:lineRule="exact"/>
        <w:rPr>
          <w:sz w:val="24"/>
          <w:szCs w:val="24"/>
        </w:rPr>
      </w:pPr>
    </w:p>
    <w:p w:rsidR="003F0B66" w:rsidRDefault="00F915F7" w:rsidP="00F915F7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Contact Detail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3F0B66" w:rsidRDefault="00F915F7">
      <w:pPr>
        <w:ind w:right="20"/>
        <w:jc w:val="center"/>
        <w:rPr>
          <w:sz w:val="20"/>
          <w:szCs w:val="20"/>
        </w:rPr>
      </w:pPr>
      <w:hyperlink r:id="rId5" w:history="1">
        <w:r w:rsidRPr="00E30A1A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Jyoti.382204@2freemail.com</w:t>
        </w:r>
      </w:hyperlink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</w:p>
    <w:p w:rsidR="003F0B66" w:rsidRDefault="00F915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-42545</wp:posOffset>
            </wp:positionV>
            <wp:extent cx="266700" cy="307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B66" w:rsidRDefault="003F0B66">
      <w:pPr>
        <w:spacing w:line="268" w:lineRule="exact"/>
        <w:rPr>
          <w:sz w:val="24"/>
          <w:szCs w:val="24"/>
        </w:rPr>
      </w:pPr>
    </w:p>
    <w:p w:rsidR="003F0B66" w:rsidRDefault="00F915F7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Profile Summary</w:t>
      </w:r>
    </w:p>
    <w:p w:rsidR="003F0B66" w:rsidRDefault="003F0B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" from="-.4pt,3.15pt" to="453.85pt,3.15pt" o:allowincell="f" strokeweight="1.44pt"/>
        </w:pict>
      </w:r>
    </w:p>
    <w:p w:rsidR="003F0B66" w:rsidRDefault="003F0B66">
      <w:pPr>
        <w:spacing w:line="59" w:lineRule="exact"/>
        <w:rPr>
          <w:sz w:val="24"/>
          <w:szCs w:val="24"/>
        </w:rPr>
      </w:pPr>
    </w:p>
    <w:p w:rsidR="003F0B66" w:rsidRDefault="00F915F7">
      <w:pPr>
        <w:spacing w:line="239" w:lineRule="auto"/>
        <w:ind w:left="120" w:right="4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 xml:space="preserve">A highly motivated individual with strong background in financial services and accounting, with exposure to working with various industries </w:t>
      </w:r>
      <w:r>
        <w:rPr>
          <w:rFonts w:ascii="Verdana" w:eastAsia="Verdana" w:hAnsi="Verdana" w:cs="Verdana"/>
          <w:sz w:val="17"/>
          <w:szCs w:val="17"/>
        </w:rPr>
        <w:t>and territories. Has the ability to work with minimal supervision and can adapt to a multicultural work environment</w:t>
      </w:r>
    </w:p>
    <w:p w:rsidR="003F0B66" w:rsidRDefault="003F0B66">
      <w:pPr>
        <w:spacing w:line="208" w:lineRule="exact"/>
        <w:rPr>
          <w:sz w:val="24"/>
          <w:szCs w:val="24"/>
        </w:rPr>
      </w:pPr>
    </w:p>
    <w:p w:rsidR="003F0B66" w:rsidRDefault="00F915F7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Qualifications</w:t>
      </w:r>
    </w:p>
    <w:p w:rsidR="003F0B66" w:rsidRDefault="003F0B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752;visibility:visible;mso-wrap-distance-left:0;mso-wrap-distance-right:0" from="-.4pt,1.7pt" to="453.85pt,1.7pt" o:allowincell="f" strokeweight="1.44pt"/>
        </w:pict>
      </w:r>
    </w:p>
    <w:p w:rsidR="003F0B66" w:rsidRDefault="003F0B66">
      <w:pPr>
        <w:spacing w:line="27" w:lineRule="exact"/>
        <w:rPr>
          <w:sz w:val="24"/>
          <w:szCs w:val="24"/>
        </w:rPr>
      </w:pPr>
    </w:p>
    <w:p w:rsidR="003F0B66" w:rsidRDefault="00F915F7">
      <w:pPr>
        <w:numPr>
          <w:ilvl w:val="0"/>
          <w:numId w:val="1"/>
        </w:numPr>
        <w:tabs>
          <w:tab w:val="left" w:pos="300"/>
        </w:tabs>
        <w:ind w:left="300" w:hanging="152"/>
        <w:rPr>
          <w:rFonts w:ascii="Symbol" w:eastAsia="Symbol" w:hAnsi="Symbol" w:cs="Symbol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CFA Level 3 Candidate- Edge Institute Dubai 2018</w:t>
      </w:r>
    </w:p>
    <w:p w:rsidR="003F0B66" w:rsidRDefault="003F0B66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:rsidR="003F0B66" w:rsidRDefault="00F915F7">
      <w:pPr>
        <w:numPr>
          <w:ilvl w:val="0"/>
          <w:numId w:val="1"/>
        </w:numPr>
        <w:tabs>
          <w:tab w:val="left" w:pos="300"/>
        </w:tabs>
        <w:spacing w:line="236" w:lineRule="auto"/>
        <w:ind w:left="300" w:hanging="152"/>
        <w:rPr>
          <w:rFonts w:ascii="Symbol" w:eastAsia="Symbol" w:hAnsi="Symbol" w:cs="Symbol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Bachelor of Business Administration -ECMIT Dubai 2004</w:t>
      </w:r>
    </w:p>
    <w:p w:rsidR="003F0B66" w:rsidRDefault="003F0B66">
      <w:pPr>
        <w:spacing w:line="243" w:lineRule="exact"/>
        <w:rPr>
          <w:sz w:val="24"/>
          <w:szCs w:val="24"/>
        </w:rPr>
      </w:pPr>
    </w:p>
    <w:p w:rsidR="003F0B66" w:rsidRDefault="00F915F7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Skill Highlights</w:t>
      </w:r>
    </w:p>
    <w:p w:rsidR="003F0B66" w:rsidRDefault="003F0B66">
      <w:pPr>
        <w:spacing w:line="2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20"/>
        <w:gridCol w:w="5160"/>
      </w:tblGrid>
      <w:tr w:rsidR="003F0B66">
        <w:trPr>
          <w:trHeight w:val="237"/>
        </w:trPr>
        <w:tc>
          <w:tcPr>
            <w:tcW w:w="3920" w:type="dxa"/>
            <w:tcBorders>
              <w:top w:val="single" w:sz="8" w:space="0" w:color="auto"/>
            </w:tcBorders>
            <w:vAlign w:val="bottom"/>
          </w:tcPr>
          <w:p w:rsidR="003F0B66" w:rsidRDefault="00F915F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7"/>
                <w:szCs w:val="17"/>
              </w:rPr>
              <w:t>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Financial Due Diligence</w:t>
            </w:r>
          </w:p>
        </w:tc>
        <w:tc>
          <w:tcPr>
            <w:tcW w:w="5160" w:type="dxa"/>
            <w:tcBorders>
              <w:top w:val="single" w:sz="8" w:space="0" w:color="auto"/>
            </w:tcBorders>
            <w:vAlign w:val="bottom"/>
          </w:tcPr>
          <w:p w:rsidR="003F0B66" w:rsidRDefault="00F915F7">
            <w:pPr>
              <w:ind w:left="6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7"/>
                <w:szCs w:val="17"/>
              </w:rPr>
              <w:t>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Compliance and Risk Management</w:t>
            </w:r>
          </w:p>
        </w:tc>
      </w:tr>
      <w:tr w:rsidR="003F0B66">
        <w:trPr>
          <w:trHeight w:val="207"/>
        </w:trPr>
        <w:tc>
          <w:tcPr>
            <w:tcW w:w="3920" w:type="dxa"/>
            <w:vAlign w:val="bottom"/>
          </w:tcPr>
          <w:p w:rsidR="003F0B66" w:rsidRDefault="00F915F7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7"/>
                <w:szCs w:val="17"/>
              </w:rPr>
              <w:t>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Operational and Credit Analysis</w:t>
            </w:r>
          </w:p>
        </w:tc>
        <w:tc>
          <w:tcPr>
            <w:tcW w:w="5160" w:type="dxa"/>
            <w:vAlign w:val="bottom"/>
          </w:tcPr>
          <w:p w:rsidR="003F0B66" w:rsidRDefault="00F915F7">
            <w:pPr>
              <w:spacing w:line="207" w:lineRule="exact"/>
              <w:ind w:left="6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7"/>
                <w:szCs w:val="17"/>
              </w:rPr>
              <w:t>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Research (Technical, Tax and Legal)</w:t>
            </w:r>
          </w:p>
        </w:tc>
      </w:tr>
      <w:tr w:rsidR="003F0B66">
        <w:trPr>
          <w:trHeight w:val="206"/>
        </w:trPr>
        <w:tc>
          <w:tcPr>
            <w:tcW w:w="3920" w:type="dxa"/>
            <w:vAlign w:val="bottom"/>
          </w:tcPr>
          <w:p w:rsidR="003F0B66" w:rsidRDefault="00F915F7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7"/>
                <w:szCs w:val="17"/>
              </w:rPr>
              <w:t>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Financial Reporting and Accounting</w:t>
            </w:r>
          </w:p>
        </w:tc>
        <w:tc>
          <w:tcPr>
            <w:tcW w:w="5160" w:type="dxa"/>
            <w:vAlign w:val="bottom"/>
          </w:tcPr>
          <w:p w:rsidR="003F0B66" w:rsidRDefault="00F915F7">
            <w:pPr>
              <w:spacing w:line="206" w:lineRule="exact"/>
              <w:ind w:left="6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7"/>
                <w:szCs w:val="17"/>
              </w:rPr>
              <w:t>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Tally 8</w:t>
            </w:r>
          </w:p>
        </w:tc>
      </w:tr>
      <w:tr w:rsidR="003F0B66">
        <w:trPr>
          <w:trHeight w:val="206"/>
        </w:trPr>
        <w:tc>
          <w:tcPr>
            <w:tcW w:w="3920" w:type="dxa"/>
            <w:vAlign w:val="bottom"/>
          </w:tcPr>
          <w:p w:rsidR="003F0B66" w:rsidRDefault="00F915F7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7"/>
                <w:szCs w:val="17"/>
              </w:rPr>
              <w:t>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Budget and Monitoring</w:t>
            </w:r>
          </w:p>
        </w:tc>
        <w:tc>
          <w:tcPr>
            <w:tcW w:w="5160" w:type="dxa"/>
            <w:vAlign w:val="bottom"/>
          </w:tcPr>
          <w:p w:rsidR="003F0B66" w:rsidRDefault="00F915F7">
            <w:pPr>
              <w:spacing w:line="206" w:lineRule="exact"/>
              <w:ind w:left="6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7"/>
                <w:szCs w:val="17"/>
              </w:rPr>
              <w:t>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MS Office (Excel, PowerPoint, Word, Projects)</w:t>
            </w:r>
          </w:p>
        </w:tc>
      </w:tr>
    </w:tbl>
    <w:p w:rsidR="003F0B66" w:rsidRDefault="00F915F7">
      <w:pPr>
        <w:spacing w:line="238" w:lineRule="auto"/>
        <w:ind w:left="120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</w:rPr>
        <w:t></w:t>
      </w:r>
      <w:r>
        <w:rPr>
          <w:rFonts w:ascii="Verdana" w:eastAsia="Verdana" w:hAnsi="Verdana" w:cs="Verdana"/>
          <w:sz w:val="17"/>
          <w:szCs w:val="17"/>
        </w:rPr>
        <w:t xml:space="preserve"> Financial Modelling</w:t>
      </w:r>
    </w:p>
    <w:p w:rsidR="003F0B66" w:rsidRDefault="003F0B66">
      <w:pPr>
        <w:spacing w:line="242" w:lineRule="exact"/>
        <w:rPr>
          <w:sz w:val="24"/>
          <w:szCs w:val="24"/>
        </w:rPr>
      </w:pPr>
    </w:p>
    <w:p w:rsidR="003F0B66" w:rsidRDefault="00F915F7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Work Experience</w:t>
      </w:r>
    </w:p>
    <w:p w:rsidR="003F0B66" w:rsidRDefault="003F0B66">
      <w:pPr>
        <w:spacing w:line="2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260"/>
      </w:tblGrid>
      <w:tr w:rsidR="003F0B66">
        <w:trPr>
          <w:trHeight w:val="247"/>
        </w:trPr>
        <w:tc>
          <w:tcPr>
            <w:tcW w:w="4820" w:type="dxa"/>
            <w:tcBorders>
              <w:top w:val="single" w:sz="8" w:space="0" w:color="auto"/>
            </w:tcBorders>
            <w:vAlign w:val="bottom"/>
          </w:tcPr>
          <w:p w:rsidR="003F0B66" w:rsidRDefault="00F915F7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Import and Export Assistant</w:t>
            </w:r>
          </w:p>
        </w:tc>
        <w:tc>
          <w:tcPr>
            <w:tcW w:w="4260" w:type="dxa"/>
            <w:tcBorders>
              <w:top w:val="single" w:sz="8" w:space="0" w:color="auto"/>
            </w:tcBorders>
            <w:vAlign w:val="bottom"/>
          </w:tcPr>
          <w:p w:rsidR="003F0B66" w:rsidRDefault="00F915F7">
            <w:pPr>
              <w:ind w:left="18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July 2013 – March</w:t>
            </w:r>
          </w:p>
        </w:tc>
      </w:tr>
      <w:tr w:rsidR="003F0B66">
        <w:trPr>
          <w:trHeight w:val="218"/>
        </w:trPr>
        <w:tc>
          <w:tcPr>
            <w:tcW w:w="4820" w:type="dxa"/>
            <w:vAlign w:val="bottom"/>
          </w:tcPr>
          <w:p w:rsidR="003F0B66" w:rsidRDefault="00F915F7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Al Maya Group, Dubai</w:t>
            </w:r>
          </w:p>
        </w:tc>
        <w:tc>
          <w:tcPr>
            <w:tcW w:w="4260" w:type="dxa"/>
            <w:vAlign w:val="bottom"/>
          </w:tcPr>
          <w:p w:rsidR="003F0B66" w:rsidRDefault="00F915F7">
            <w:pPr>
              <w:ind w:left="18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2014</w:t>
            </w:r>
          </w:p>
        </w:tc>
      </w:tr>
    </w:tbl>
    <w:p w:rsidR="003F0B66" w:rsidRDefault="00F915F7">
      <w:pPr>
        <w:numPr>
          <w:ilvl w:val="0"/>
          <w:numId w:val="2"/>
        </w:numPr>
        <w:tabs>
          <w:tab w:val="left" w:pos="280"/>
        </w:tabs>
        <w:spacing w:line="238" w:lineRule="auto"/>
        <w:ind w:left="280" w:hanging="152"/>
        <w:rPr>
          <w:rFonts w:ascii="Symbol" w:eastAsia="Symbol" w:hAnsi="Symbol" w:cs="Symbol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Handled various accounting transactions.</w:t>
      </w:r>
    </w:p>
    <w:p w:rsidR="003F0B66" w:rsidRDefault="003F0B66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:rsidR="003F0B66" w:rsidRDefault="00F915F7">
      <w:pPr>
        <w:numPr>
          <w:ilvl w:val="0"/>
          <w:numId w:val="2"/>
        </w:numPr>
        <w:tabs>
          <w:tab w:val="left" w:pos="280"/>
        </w:tabs>
        <w:spacing w:line="236" w:lineRule="auto"/>
        <w:ind w:left="280" w:hanging="152"/>
        <w:rPr>
          <w:rFonts w:ascii="Symbol" w:eastAsia="Symbol" w:hAnsi="Symbol" w:cs="Symbol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Processed exchange and foreign currency.</w:t>
      </w:r>
    </w:p>
    <w:p w:rsidR="003F0B66" w:rsidRDefault="003F0B66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:rsidR="003F0B66" w:rsidRDefault="00F915F7">
      <w:pPr>
        <w:numPr>
          <w:ilvl w:val="0"/>
          <w:numId w:val="2"/>
        </w:numPr>
        <w:tabs>
          <w:tab w:val="left" w:pos="280"/>
        </w:tabs>
        <w:spacing w:line="238" w:lineRule="auto"/>
        <w:ind w:left="280" w:right="140" w:hanging="152"/>
        <w:rPr>
          <w:rFonts w:ascii="Symbol" w:eastAsia="Symbol" w:hAnsi="Symbol" w:cs="Symbol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Worked closely with all product development departments to</w:t>
      </w:r>
      <w:r>
        <w:rPr>
          <w:rFonts w:ascii="Verdana" w:eastAsia="Verdana" w:hAnsi="Verdana" w:cs="Verdana"/>
          <w:sz w:val="17"/>
          <w:szCs w:val="17"/>
        </w:rPr>
        <w:t xml:space="preserve"> create and maintain marketing materials for sales presentations and client meetings.</w:t>
      </w:r>
    </w:p>
    <w:p w:rsidR="003F0B66" w:rsidRDefault="00F915F7">
      <w:pPr>
        <w:numPr>
          <w:ilvl w:val="0"/>
          <w:numId w:val="2"/>
        </w:numPr>
        <w:tabs>
          <w:tab w:val="left" w:pos="280"/>
        </w:tabs>
        <w:spacing w:line="237" w:lineRule="auto"/>
        <w:ind w:left="280" w:hanging="152"/>
        <w:rPr>
          <w:rFonts w:ascii="Symbol" w:eastAsia="Symbol" w:hAnsi="Symbol" w:cs="Symbol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Organized and removed online banking files no longer in use.</w:t>
      </w:r>
    </w:p>
    <w:p w:rsidR="003F0B66" w:rsidRDefault="003F0B66">
      <w:pPr>
        <w:spacing w:line="2" w:lineRule="exact"/>
        <w:rPr>
          <w:rFonts w:ascii="Symbol" w:eastAsia="Symbol" w:hAnsi="Symbol" w:cs="Symbol"/>
          <w:sz w:val="17"/>
          <w:szCs w:val="17"/>
        </w:rPr>
      </w:pPr>
    </w:p>
    <w:p w:rsidR="003F0B66" w:rsidRDefault="00F915F7">
      <w:pPr>
        <w:numPr>
          <w:ilvl w:val="0"/>
          <w:numId w:val="2"/>
        </w:numPr>
        <w:tabs>
          <w:tab w:val="left" w:pos="280"/>
        </w:tabs>
        <w:spacing w:line="238" w:lineRule="auto"/>
        <w:ind w:left="280" w:hanging="152"/>
        <w:rPr>
          <w:rFonts w:ascii="Symbol" w:eastAsia="Symbol" w:hAnsi="Symbol" w:cs="Symbol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Reviewed files, records and other documents to obtain information and respond to requests.</w:t>
      </w:r>
    </w:p>
    <w:p w:rsidR="003F0B66" w:rsidRDefault="003F0B66">
      <w:pPr>
        <w:spacing w:line="2" w:lineRule="exact"/>
        <w:rPr>
          <w:rFonts w:ascii="Symbol" w:eastAsia="Symbol" w:hAnsi="Symbol" w:cs="Symbol"/>
          <w:sz w:val="17"/>
          <w:szCs w:val="17"/>
        </w:rPr>
      </w:pPr>
    </w:p>
    <w:p w:rsidR="003F0B66" w:rsidRDefault="00F915F7">
      <w:pPr>
        <w:numPr>
          <w:ilvl w:val="0"/>
          <w:numId w:val="2"/>
        </w:numPr>
        <w:tabs>
          <w:tab w:val="left" w:pos="280"/>
        </w:tabs>
        <w:spacing w:line="232" w:lineRule="auto"/>
        <w:ind w:left="280" w:hanging="152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 xml:space="preserve">Executed </w:t>
      </w:r>
      <w:r>
        <w:rPr>
          <w:rFonts w:ascii="Verdana" w:eastAsia="Verdana" w:hAnsi="Verdana" w:cs="Verdana"/>
          <w:sz w:val="17"/>
          <w:szCs w:val="17"/>
        </w:rPr>
        <w:t>customer transactions, including deposits, withdrawals, money orders and checks.</w:t>
      </w:r>
    </w:p>
    <w:p w:rsidR="003F0B66" w:rsidRDefault="003F0B66">
      <w:pPr>
        <w:spacing w:line="127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3700"/>
      </w:tblGrid>
      <w:tr w:rsidR="003F0B66">
        <w:trPr>
          <w:trHeight w:val="228"/>
        </w:trPr>
        <w:tc>
          <w:tcPr>
            <w:tcW w:w="5320" w:type="dxa"/>
            <w:tcBorders>
              <w:top w:val="single" w:sz="8" w:space="0" w:color="auto"/>
            </w:tcBorders>
            <w:vAlign w:val="bottom"/>
          </w:tcPr>
          <w:p w:rsidR="003F0B66" w:rsidRDefault="00F915F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Administration and Accounts Assistant</w:t>
            </w:r>
          </w:p>
        </w:tc>
        <w:tc>
          <w:tcPr>
            <w:tcW w:w="3700" w:type="dxa"/>
            <w:tcBorders>
              <w:top w:val="single" w:sz="8" w:space="0" w:color="auto"/>
            </w:tcBorders>
            <w:vAlign w:val="bottom"/>
          </w:tcPr>
          <w:p w:rsidR="003F0B66" w:rsidRDefault="00F915F7">
            <w:pPr>
              <w:ind w:left="1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June 2008 –</w:t>
            </w:r>
          </w:p>
        </w:tc>
      </w:tr>
      <w:tr w:rsidR="003F0B66">
        <w:trPr>
          <w:trHeight w:val="218"/>
        </w:trPr>
        <w:tc>
          <w:tcPr>
            <w:tcW w:w="5320" w:type="dxa"/>
            <w:vAlign w:val="bottom"/>
          </w:tcPr>
          <w:p w:rsidR="003F0B66" w:rsidRDefault="00F915F7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E-My Property Development, Dubai</w:t>
            </w:r>
          </w:p>
        </w:tc>
        <w:tc>
          <w:tcPr>
            <w:tcW w:w="3700" w:type="dxa"/>
            <w:vAlign w:val="bottom"/>
          </w:tcPr>
          <w:p w:rsidR="003F0B66" w:rsidRDefault="00F915F7">
            <w:pPr>
              <w:ind w:left="1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December 2010</w:t>
            </w:r>
          </w:p>
        </w:tc>
      </w:tr>
    </w:tbl>
    <w:p w:rsidR="003F0B66" w:rsidRDefault="00F915F7">
      <w:pPr>
        <w:numPr>
          <w:ilvl w:val="0"/>
          <w:numId w:val="3"/>
        </w:numPr>
        <w:tabs>
          <w:tab w:val="left" w:pos="280"/>
        </w:tabs>
        <w:spacing w:line="238" w:lineRule="auto"/>
        <w:ind w:left="280" w:hanging="152"/>
        <w:rPr>
          <w:rFonts w:ascii="Symbol" w:eastAsia="Symbol" w:hAnsi="Symbol" w:cs="Symbol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Partnered with CFO to create and revise annual budget for Program services.</w:t>
      </w:r>
    </w:p>
    <w:p w:rsidR="003F0B66" w:rsidRDefault="003F0B66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:rsidR="003F0B66" w:rsidRDefault="00F915F7">
      <w:pPr>
        <w:numPr>
          <w:ilvl w:val="0"/>
          <w:numId w:val="3"/>
        </w:numPr>
        <w:tabs>
          <w:tab w:val="left" w:pos="280"/>
        </w:tabs>
        <w:spacing w:line="238" w:lineRule="auto"/>
        <w:ind w:left="280" w:right="140" w:hanging="152"/>
        <w:rPr>
          <w:rFonts w:ascii="Symbol" w:eastAsia="Symbol" w:hAnsi="Symbol" w:cs="Symbol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Managed team of three direct reports responsible for ongoing product optimisation, account management and ad placement on company website.</w:t>
      </w:r>
    </w:p>
    <w:p w:rsidR="003F0B66" w:rsidRDefault="00F915F7">
      <w:pPr>
        <w:numPr>
          <w:ilvl w:val="0"/>
          <w:numId w:val="3"/>
        </w:numPr>
        <w:tabs>
          <w:tab w:val="left" w:pos="280"/>
        </w:tabs>
        <w:spacing w:line="237" w:lineRule="auto"/>
        <w:ind w:left="280" w:hanging="152"/>
        <w:rPr>
          <w:rFonts w:ascii="Symbol" w:eastAsia="Symbol" w:hAnsi="Symbol" w:cs="Symbol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Maintaining daily accounts</w:t>
      </w:r>
    </w:p>
    <w:p w:rsidR="003F0B66" w:rsidRDefault="003F0B66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:rsidR="003F0B66" w:rsidRDefault="00F915F7">
      <w:pPr>
        <w:numPr>
          <w:ilvl w:val="0"/>
          <w:numId w:val="3"/>
        </w:numPr>
        <w:tabs>
          <w:tab w:val="left" w:pos="280"/>
        </w:tabs>
        <w:spacing w:line="236" w:lineRule="auto"/>
        <w:ind w:left="280" w:hanging="152"/>
        <w:rPr>
          <w:rFonts w:ascii="Symbol" w:eastAsia="Symbol" w:hAnsi="Symbol" w:cs="Symbol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Accessed computerised financial information to answer questions relating to specific </w:t>
      </w:r>
      <w:r>
        <w:rPr>
          <w:rFonts w:ascii="Verdana" w:eastAsia="Verdana" w:hAnsi="Verdana" w:cs="Verdana"/>
          <w:sz w:val="17"/>
          <w:szCs w:val="17"/>
        </w:rPr>
        <w:t>accounts.</w:t>
      </w:r>
    </w:p>
    <w:p w:rsidR="003F0B66" w:rsidRDefault="003F0B66">
      <w:pPr>
        <w:spacing w:line="2" w:lineRule="exact"/>
        <w:rPr>
          <w:rFonts w:ascii="Symbol" w:eastAsia="Symbol" w:hAnsi="Symbol" w:cs="Symbol"/>
          <w:sz w:val="17"/>
          <w:szCs w:val="17"/>
        </w:rPr>
      </w:pPr>
    </w:p>
    <w:p w:rsidR="003F0B66" w:rsidRDefault="00F915F7">
      <w:pPr>
        <w:numPr>
          <w:ilvl w:val="0"/>
          <w:numId w:val="3"/>
        </w:numPr>
        <w:tabs>
          <w:tab w:val="left" w:pos="280"/>
        </w:tabs>
        <w:spacing w:line="238" w:lineRule="auto"/>
        <w:ind w:left="280" w:hanging="152"/>
        <w:rPr>
          <w:rFonts w:ascii="Symbol" w:eastAsia="Symbol" w:hAnsi="Symbol" w:cs="Symbol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Reviewed files, records and other documents to obtain information and respond to requests.</w:t>
      </w:r>
    </w:p>
    <w:p w:rsidR="003F0B66" w:rsidRDefault="003F0B66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:rsidR="003F0B66" w:rsidRDefault="00F915F7">
      <w:pPr>
        <w:numPr>
          <w:ilvl w:val="0"/>
          <w:numId w:val="3"/>
        </w:numPr>
        <w:tabs>
          <w:tab w:val="left" w:pos="280"/>
        </w:tabs>
        <w:spacing w:line="238" w:lineRule="auto"/>
        <w:ind w:left="280" w:right="140" w:hanging="152"/>
        <w:rPr>
          <w:rFonts w:ascii="Symbol" w:eastAsia="Symbol" w:hAnsi="Symbol" w:cs="Symbol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Supervised marketing department's monthly analysis of customer acquisition data and campaign performance.</w:t>
      </w:r>
    </w:p>
    <w:p w:rsidR="003F0B66" w:rsidRDefault="003F0B66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:rsidR="003F0B66" w:rsidRDefault="00F915F7">
      <w:pPr>
        <w:numPr>
          <w:ilvl w:val="0"/>
          <w:numId w:val="3"/>
        </w:numPr>
        <w:tabs>
          <w:tab w:val="left" w:pos="280"/>
        </w:tabs>
        <w:spacing w:line="238" w:lineRule="auto"/>
        <w:ind w:left="280" w:right="140" w:hanging="152"/>
        <w:rPr>
          <w:rFonts w:ascii="Symbol" w:eastAsia="Symbol" w:hAnsi="Symbol" w:cs="Symbol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Assigned tasks to associates, staffed projects</w:t>
      </w:r>
      <w:r>
        <w:rPr>
          <w:rFonts w:ascii="Verdana" w:eastAsia="Verdana" w:hAnsi="Verdana" w:cs="Verdana"/>
          <w:sz w:val="17"/>
          <w:szCs w:val="17"/>
        </w:rPr>
        <w:t>, tracked progress and updated managers, partners and clients as necessary.</w:t>
      </w:r>
    </w:p>
    <w:p w:rsidR="003F0B66" w:rsidRDefault="003F0B66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:rsidR="003F0B66" w:rsidRDefault="00F915F7">
      <w:pPr>
        <w:numPr>
          <w:ilvl w:val="0"/>
          <w:numId w:val="3"/>
        </w:numPr>
        <w:tabs>
          <w:tab w:val="left" w:pos="280"/>
        </w:tabs>
        <w:spacing w:line="238" w:lineRule="auto"/>
        <w:ind w:left="280" w:right="140" w:hanging="152"/>
        <w:rPr>
          <w:rFonts w:ascii="Symbol" w:eastAsia="Symbol" w:hAnsi="Symbol" w:cs="Symbol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Developed and executed marketing programmes and general business solutions resulting in increased company exposure, customer traffic and sales.</w:t>
      </w:r>
    </w:p>
    <w:p w:rsidR="003F0B66" w:rsidRDefault="00F915F7">
      <w:pPr>
        <w:numPr>
          <w:ilvl w:val="0"/>
          <w:numId w:val="3"/>
        </w:numPr>
        <w:tabs>
          <w:tab w:val="left" w:pos="280"/>
        </w:tabs>
        <w:spacing w:line="237" w:lineRule="auto"/>
        <w:ind w:left="280" w:hanging="152"/>
        <w:rPr>
          <w:rFonts w:ascii="Symbol" w:eastAsia="Symbol" w:hAnsi="Symbol" w:cs="Symbol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Prepared customer and ATM cash and </w:t>
      </w:r>
      <w:r>
        <w:rPr>
          <w:rFonts w:ascii="Verdana" w:eastAsia="Verdana" w:hAnsi="Verdana" w:cs="Verdana"/>
          <w:sz w:val="17"/>
          <w:szCs w:val="17"/>
        </w:rPr>
        <w:t>change orders.</w:t>
      </w:r>
    </w:p>
    <w:p w:rsidR="003F0B66" w:rsidRDefault="003F0B66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:rsidR="003F0B66" w:rsidRDefault="00F915F7">
      <w:pPr>
        <w:numPr>
          <w:ilvl w:val="0"/>
          <w:numId w:val="3"/>
        </w:numPr>
        <w:tabs>
          <w:tab w:val="left" w:pos="280"/>
        </w:tabs>
        <w:spacing w:line="238" w:lineRule="auto"/>
        <w:ind w:left="280" w:right="140" w:hanging="152"/>
        <w:rPr>
          <w:rFonts w:ascii="Symbol" w:eastAsia="Symbol" w:hAnsi="Symbol" w:cs="Symbol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Answered telephone inquiries on banking products including checking, savings, loans and lines of credit.</w:t>
      </w:r>
    </w:p>
    <w:p w:rsidR="003F0B66" w:rsidRDefault="003F0B66">
      <w:pPr>
        <w:spacing w:line="147" w:lineRule="exact"/>
        <w:rPr>
          <w:sz w:val="24"/>
          <w:szCs w:val="24"/>
        </w:rPr>
      </w:pPr>
    </w:p>
    <w:p w:rsidR="003F0B66" w:rsidRDefault="00F915F7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Personal Details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7560"/>
      </w:tblGrid>
      <w:tr w:rsidR="003F0B66">
        <w:trPr>
          <w:trHeight w:val="236"/>
        </w:trPr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3F0B66" w:rsidRDefault="00F915F7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Nationality</w:t>
            </w:r>
          </w:p>
        </w:tc>
        <w:tc>
          <w:tcPr>
            <w:tcW w:w="7560" w:type="dxa"/>
            <w:tcBorders>
              <w:top w:val="single" w:sz="8" w:space="0" w:color="auto"/>
            </w:tcBorders>
            <w:vAlign w:val="bottom"/>
          </w:tcPr>
          <w:p w:rsidR="003F0B66" w:rsidRDefault="00F915F7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: Indian</w:t>
            </w:r>
          </w:p>
        </w:tc>
      </w:tr>
      <w:tr w:rsidR="003F0B66">
        <w:trPr>
          <w:trHeight w:val="208"/>
        </w:trPr>
        <w:tc>
          <w:tcPr>
            <w:tcW w:w="1300" w:type="dxa"/>
            <w:vAlign w:val="bottom"/>
          </w:tcPr>
          <w:p w:rsidR="003F0B66" w:rsidRDefault="00F915F7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Date of Birth</w:t>
            </w:r>
          </w:p>
        </w:tc>
        <w:tc>
          <w:tcPr>
            <w:tcW w:w="7560" w:type="dxa"/>
            <w:vAlign w:val="bottom"/>
          </w:tcPr>
          <w:p w:rsidR="003F0B66" w:rsidRDefault="00F915F7">
            <w:pPr>
              <w:spacing w:line="208" w:lineRule="exact"/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: 25</w:t>
            </w:r>
            <w:r>
              <w:rPr>
                <w:rFonts w:ascii="Verdana" w:eastAsia="Verdana" w:hAnsi="Verdana" w:cs="Verdana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March 1984</w:t>
            </w:r>
          </w:p>
        </w:tc>
      </w:tr>
      <w:tr w:rsidR="003F0B66">
        <w:trPr>
          <w:trHeight w:val="205"/>
        </w:trPr>
        <w:tc>
          <w:tcPr>
            <w:tcW w:w="1300" w:type="dxa"/>
            <w:vAlign w:val="bottom"/>
          </w:tcPr>
          <w:p w:rsidR="003F0B66" w:rsidRDefault="00F915F7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Gender</w:t>
            </w:r>
          </w:p>
        </w:tc>
        <w:tc>
          <w:tcPr>
            <w:tcW w:w="7560" w:type="dxa"/>
            <w:vAlign w:val="bottom"/>
          </w:tcPr>
          <w:p w:rsidR="003F0B66" w:rsidRDefault="00F915F7">
            <w:pPr>
              <w:spacing w:line="205" w:lineRule="exact"/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: Female</w:t>
            </w:r>
          </w:p>
        </w:tc>
      </w:tr>
      <w:tr w:rsidR="003F0B66">
        <w:trPr>
          <w:trHeight w:val="209"/>
        </w:trPr>
        <w:tc>
          <w:tcPr>
            <w:tcW w:w="1300" w:type="dxa"/>
            <w:vAlign w:val="bottom"/>
          </w:tcPr>
          <w:p w:rsidR="003F0B66" w:rsidRDefault="00F915F7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Visa Status</w:t>
            </w:r>
          </w:p>
        </w:tc>
        <w:tc>
          <w:tcPr>
            <w:tcW w:w="7560" w:type="dxa"/>
            <w:vAlign w:val="bottom"/>
          </w:tcPr>
          <w:p w:rsidR="003F0B66" w:rsidRDefault="00F915F7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: Father Sponsored Residence Visa</w:t>
            </w:r>
          </w:p>
        </w:tc>
      </w:tr>
      <w:tr w:rsidR="003F0B66">
        <w:trPr>
          <w:trHeight w:val="206"/>
        </w:trPr>
        <w:tc>
          <w:tcPr>
            <w:tcW w:w="1300" w:type="dxa"/>
            <w:vAlign w:val="bottom"/>
          </w:tcPr>
          <w:p w:rsidR="003F0B66" w:rsidRDefault="00F915F7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Languages</w:t>
            </w:r>
          </w:p>
        </w:tc>
        <w:tc>
          <w:tcPr>
            <w:tcW w:w="7560" w:type="dxa"/>
            <w:vAlign w:val="bottom"/>
          </w:tcPr>
          <w:p w:rsidR="003F0B66" w:rsidRDefault="00F915F7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: English, Hindi and Sindhi</w:t>
            </w:r>
          </w:p>
        </w:tc>
      </w:tr>
      <w:tr w:rsidR="003F0B66">
        <w:trPr>
          <w:trHeight w:val="206"/>
        </w:trPr>
        <w:tc>
          <w:tcPr>
            <w:tcW w:w="1300" w:type="dxa"/>
            <w:vAlign w:val="bottom"/>
          </w:tcPr>
          <w:p w:rsidR="003F0B66" w:rsidRDefault="00F915F7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License</w:t>
            </w:r>
          </w:p>
        </w:tc>
        <w:tc>
          <w:tcPr>
            <w:tcW w:w="7560" w:type="dxa"/>
            <w:vAlign w:val="bottom"/>
          </w:tcPr>
          <w:p w:rsidR="003F0B66" w:rsidRDefault="00F915F7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: Holding a valid UAE driving license</w:t>
            </w:r>
          </w:p>
        </w:tc>
      </w:tr>
      <w:tr w:rsidR="003F0B66">
        <w:trPr>
          <w:trHeight w:val="206"/>
        </w:trPr>
        <w:tc>
          <w:tcPr>
            <w:tcW w:w="1300" w:type="dxa"/>
            <w:vAlign w:val="bottom"/>
          </w:tcPr>
          <w:p w:rsidR="003F0B66" w:rsidRDefault="00F915F7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References</w:t>
            </w:r>
          </w:p>
        </w:tc>
        <w:tc>
          <w:tcPr>
            <w:tcW w:w="7560" w:type="dxa"/>
            <w:vAlign w:val="bottom"/>
          </w:tcPr>
          <w:p w:rsidR="003F0B66" w:rsidRDefault="00F915F7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: Available on request</w:t>
            </w:r>
          </w:p>
        </w:tc>
      </w:tr>
    </w:tbl>
    <w:p w:rsidR="003F0B66" w:rsidRDefault="003F0B66">
      <w:pPr>
        <w:spacing w:line="207" w:lineRule="exact"/>
        <w:rPr>
          <w:sz w:val="24"/>
          <w:szCs w:val="24"/>
        </w:rPr>
      </w:pPr>
    </w:p>
    <w:p w:rsidR="003F0B66" w:rsidRDefault="003F0B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9776;visibility:visible;mso-wrap-distance-left:0;mso-wrap-distance-right:0" from="-47pt,55.6pt" to="500.4pt,55.6pt" o:allowincell="f" strokeweight=".16931mm"/>
        </w:pict>
      </w:r>
      <w:r>
        <w:rPr>
          <w:sz w:val="24"/>
          <w:szCs w:val="24"/>
        </w:rPr>
        <w:pict>
          <v:line id="Shape 7" o:spid="_x0000_s1032" style="position:absolute;z-index:251660800;visibility:visible;mso-wrap-distance-left:0;mso-wrap-distance-right:0" from="-46.5pt,55.15pt" to="499.9pt,55.15pt" o:allowincell="f" strokecolor="white" strokeweight=".16931mm"/>
        </w:pict>
      </w:r>
    </w:p>
    <w:sectPr w:rsidR="003F0B66" w:rsidSect="003F0B66">
      <w:pgSz w:w="11900" w:h="16838"/>
      <w:pgMar w:top="1440" w:right="1406" w:bottom="1031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CDBA154A"/>
    <w:lvl w:ilvl="0" w:tplc="2AD2031C">
      <w:start w:val="1"/>
      <w:numFmt w:val="bullet"/>
      <w:lvlText w:val=""/>
      <w:lvlJc w:val="left"/>
    </w:lvl>
    <w:lvl w:ilvl="1" w:tplc="AE8A88AE">
      <w:numFmt w:val="decimal"/>
      <w:lvlText w:val=""/>
      <w:lvlJc w:val="left"/>
    </w:lvl>
    <w:lvl w:ilvl="2" w:tplc="19624AEC">
      <w:numFmt w:val="decimal"/>
      <w:lvlText w:val=""/>
      <w:lvlJc w:val="left"/>
    </w:lvl>
    <w:lvl w:ilvl="3" w:tplc="BEAED20C">
      <w:numFmt w:val="decimal"/>
      <w:lvlText w:val=""/>
      <w:lvlJc w:val="left"/>
    </w:lvl>
    <w:lvl w:ilvl="4" w:tplc="B54A7D24">
      <w:numFmt w:val="decimal"/>
      <w:lvlText w:val=""/>
      <w:lvlJc w:val="left"/>
    </w:lvl>
    <w:lvl w:ilvl="5" w:tplc="6A604932">
      <w:numFmt w:val="decimal"/>
      <w:lvlText w:val=""/>
      <w:lvlJc w:val="left"/>
    </w:lvl>
    <w:lvl w:ilvl="6" w:tplc="9594D540">
      <w:numFmt w:val="decimal"/>
      <w:lvlText w:val=""/>
      <w:lvlJc w:val="left"/>
    </w:lvl>
    <w:lvl w:ilvl="7" w:tplc="A6B4E818">
      <w:numFmt w:val="decimal"/>
      <w:lvlText w:val=""/>
      <w:lvlJc w:val="left"/>
    </w:lvl>
    <w:lvl w:ilvl="8" w:tplc="6DA81EE8">
      <w:numFmt w:val="decimal"/>
      <w:lvlText w:val=""/>
      <w:lvlJc w:val="left"/>
    </w:lvl>
  </w:abstractNum>
  <w:abstractNum w:abstractNumId="1">
    <w:nsid w:val="00004AE1"/>
    <w:multiLevelType w:val="hybridMultilevel"/>
    <w:tmpl w:val="ECAAF7AA"/>
    <w:lvl w:ilvl="0" w:tplc="E340B504">
      <w:start w:val="1"/>
      <w:numFmt w:val="bullet"/>
      <w:lvlText w:val=""/>
      <w:lvlJc w:val="left"/>
    </w:lvl>
    <w:lvl w:ilvl="1" w:tplc="EFBED9D6">
      <w:numFmt w:val="decimal"/>
      <w:lvlText w:val=""/>
      <w:lvlJc w:val="left"/>
    </w:lvl>
    <w:lvl w:ilvl="2" w:tplc="5F082582">
      <w:numFmt w:val="decimal"/>
      <w:lvlText w:val=""/>
      <w:lvlJc w:val="left"/>
    </w:lvl>
    <w:lvl w:ilvl="3" w:tplc="30B29CB8">
      <w:numFmt w:val="decimal"/>
      <w:lvlText w:val=""/>
      <w:lvlJc w:val="left"/>
    </w:lvl>
    <w:lvl w:ilvl="4" w:tplc="E59E8BE8">
      <w:numFmt w:val="decimal"/>
      <w:lvlText w:val=""/>
      <w:lvlJc w:val="left"/>
    </w:lvl>
    <w:lvl w:ilvl="5" w:tplc="C5E20762">
      <w:numFmt w:val="decimal"/>
      <w:lvlText w:val=""/>
      <w:lvlJc w:val="left"/>
    </w:lvl>
    <w:lvl w:ilvl="6" w:tplc="93D83DDE">
      <w:numFmt w:val="decimal"/>
      <w:lvlText w:val=""/>
      <w:lvlJc w:val="left"/>
    </w:lvl>
    <w:lvl w:ilvl="7" w:tplc="BE2C4E9C">
      <w:numFmt w:val="decimal"/>
      <w:lvlText w:val=""/>
      <w:lvlJc w:val="left"/>
    </w:lvl>
    <w:lvl w:ilvl="8" w:tplc="3C96D56A">
      <w:numFmt w:val="decimal"/>
      <w:lvlText w:val=""/>
      <w:lvlJc w:val="left"/>
    </w:lvl>
  </w:abstractNum>
  <w:abstractNum w:abstractNumId="2">
    <w:nsid w:val="00006784"/>
    <w:multiLevelType w:val="hybridMultilevel"/>
    <w:tmpl w:val="24D2CFDE"/>
    <w:lvl w:ilvl="0" w:tplc="02A84C00">
      <w:start w:val="1"/>
      <w:numFmt w:val="bullet"/>
      <w:lvlText w:val=""/>
      <w:lvlJc w:val="left"/>
    </w:lvl>
    <w:lvl w:ilvl="1" w:tplc="EA5ED9F2">
      <w:numFmt w:val="decimal"/>
      <w:lvlText w:val=""/>
      <w:lvlJc w:val="left"/>
    </w:lvl>
    <w:lvl w:ilvl="2" w:tplc="AAFAC224">
      <w:numFmt w:val="decimal"/>
      <w:lvlText w:val=""/>
      <w:lvlJc w:val="left"/>
    </w:lvl>
    <w:lvl w:ilvl="3" w:tplc="5290EEEC">
      <w:numFmt w:val="decimal"/>
      <w:lvlText w:val=""/>
      <w:lvlJc w:val="left"/>
    </w:lvl>
    <w:lvl w:ilvl="4" w:tplc="6E121484">
      <w:numFmt w:val="decimal"/>
      <w:lvlText w:val=""/>
      <w:lvlJc w:val="left"/>
    </w:lvl>
    <w:lvl w:ilvl="5" w:tplc="68EA4A90">
      <w:numFmt w:val="decimal"/>
      <w:lvlText w:val=""/>
      <w:lvlJc w:val="left"/>
    </w:lvl>
    <w:lvl w:ilvl="6" w:tplc="C366CADE">
      <w:numFmt w:val="decimal"/>
      <w:lvlText w:val=""/>
      <w:lvlJc w:val="left"/>
    </w:lvl>
    <w:lvl w:ilvl="7" w:tplc="28406A18">
      <w:numFmt w:val="decimal"/>
      <w:lvlText w:val=""/>
      <w:lvlJc w:val="left"/>
    </w:lvl>
    <w:lvl w:ilvl="8" w:tplc="8A8C7CE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0B66"/>
    <w:rsid w:val="003F0B66"/>
    <w:rsid w:val="00F9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yoti.38220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2018-07-23T16:23:00Z</dcterms:created>
  <dcterms:modified xsi:type="dcterms:W3CDTF">2018-07-24T11:28:00Z</dcterms:modified>
</cp:coreProperties>
</file>