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CURRICULUM VITE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3209925</wp:posOffset>
            </wp:positionH>
            <wp:positionV relativeFrom="paragraph">
              <wp:posOffset>-139700</wp:posOffset>
            </wp:positionV>
            <wp:extent cx="1533525" cy="1943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Melaku tesfaye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Phone no: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0523292001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Email: tesfayemelaku77@gmail.com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U.A.E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Personal information</w:t>
      </w:r>
    </w:p>
    <w:p>
      <w:pPr>
        <w:sectPr>
          <w:pgSz w:w="12240" w:h="15840" w:orient="portrait"/>
          <w:cols w:equalWidth="0" w:num="1">
            <w:col w:w="9360"/>
          </w:cols>
          <w:pgMar w:left="1440" w:top="1412" w:right="1440" w:bottom="1440" w:gutter="0" w:footer="0" w:header="0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Gender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Marital status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Nationality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Passport no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Date of expiry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Melaku Tesfaye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Male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Single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Ethiopian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EP5332036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02/07/2023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1600" w:space="720"/>
            <w:col w:w="7040"/>
          </w:cols>
          <w:pgMar w:left="1440" w:top="1412" w:right="1440" w:bottom="1440" w:gutter="0" w:footer="0" w:header="0"/>
          <w:type w:val="continuous"/>
        </w:sectPr>
      </w:pP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Education Back Ground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BA Degree in Accounting/2014-2017/</w:t>
      </w:r>
    </w:p>
    <w:p>
      <w:pPr>
        <w:spacing w:after="0" w:line="5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Diploma junior accountant/2006-2009/</w:t>
      </w:r>
    </w:p>
    <w:p>
      <w:pPr>
        <w:spacing w:after="0" w:line="4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500" w:hanging="420"/>
        <w:spacing w:after="0"/>
        <w:tabs>
          <w:tab w:leader="none" w:pos="150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Peachtree Accounting Certificate/2012/</w:t>
      </w:r>
    </w:p>
    <w:p>
      <w:pPr>
        <w:spacing w:after="0" w:line="5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500" w:hanging="420"/>
        <w:spacing w:after="0"/>
        <w:tabs>
          <w:tab w:leader="none" w:pos="150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Diploma In Application Software Training /2011/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Language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English :- Speaking, Reading, Writing and Understanding very well</w:t>
      </w:r>
    </w:p>
    <w:p>
      <w:pPr>
        <w:spacing w:after="0" w:line="5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Amharic:- Speaking, Reading, Writing and Understanding very well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Work experience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1440" w:right="280" w:hanging="360"/>
        <w:spacing w:after="0" w:line="281" w:lineRule="auto"/>
        <w:tabs>
          <w:tab w:leader="none" w:pos="144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two (2) years working as Riske management officer in Dire Micro Finance Institute Harare Branch./Ethiopia/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440" w:right="160" w:hanging="360"/>
        <w:spacing w:after="0" w:line="281" w:lineRule="auto"/>
        <w:tabs>
          <w:tab w:leader="none" w:pos="144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one(1) years and seven(7) month working as accountant private organization employ social security agent./Ethiopia/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440" w:right="1020" w:hanging="360"/>
        <w:spacing w:after="0" w:line="317" w:lineRule="auto"/>
        <w:tabs>
          <w:tab w:leader="none" w:pos="144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two (2) year working as accountant in Public servant social security agent/Ethiopia/</w:t>
      </w:r>
    </w:p>
    <w:p>
      <w:pPr>
        <w:sectPr>
          <w:pgSz w:w="12240" w:h="15840" w:orient="portrait"/>
          <w:cols w:equalWidth="0" w:num="1">
            <w:col w:w="9360"/>
          </w:cols>
          <w:pgMar w:left="1440" w:top="1412" w:right="1440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Other Ability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Computer Application (IT)</w:t>
      </w:r>
    </w:p>
    <w:p>
      <w:pPr>
        <w:spacing w:after="0" w:line="5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Driving Car (Driver)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Dutie and responsibility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760" w:right="80" w:hanging="355"/>
        <w:spacing w:after="0" w:line="277" w:lineRule="auto"/>
        <w:tabs>
          <w:tab w:leader="none" w:pos="76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Prepare, examine, and analyze accounting records, financial statements, and other financial reports to assess accuracy, completeness, and conformance to reporting and procedural standards.</w:t>
      </w:r>
    </w:p>
    <w:p>
      <w:pPr>
        <w:ind w:left="760" w:right="460" w:hanging="355"/>
        <w:spacing w:after="0" w:line="214" w:lineRule="auto"/>
        <w:tabs>
          <w:tab w:leader="none" w:pos="821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Compute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taxes owed and prepare tax returns, ensuring compliance with payment, reporting and other tax requirements.</w:t>
      </w:r>
    </w:p>
    <w:p>
      <w:pPr>
        <w:ind w:left="760" w:right="480" w:hanging="355"/>
        <w:spacing w:after="0" w:line="187" w:lineRule="auto"/>
        <w:tabs>
          <w:tab w:leader="none" w:pos="821" w:val="left"/>
        </w:tabs>
        <w:numPr>
          <w:ilvl w:val="0"/>
          <w:numId w:val="5"/>
        </w:numPr>
        <w:rPr>
          <w:rFonts w:ascii="Arial" w:cs="Arial" w:eastAsia="Arial" w:hAnsi="Arial"/>
          <w:sz w:val="21"/>
          <w:szCs w:val="21"/>
          <w:color w:val="333333"/>
        </w:rPr>
      </w:pPr>
      <w:r>
        <w:rPr>
          <w:rFonts w:ascii="Arial" w:cs="Arial" w:eastAsia="Arial" w:hAnsi="Arial"/>
          <w:sz w:val="21"/>
          <w:szCs w:val="21"/>
          <w:color w:val="333333"/>
        </w:rPr>
        <w:t>Analyze</w:t>
      </w:r>
      <w:r>
        <w:rPr>
          <w:rFonts w:ascii="Gautami" w:cs="Gautami" w:eastAsia="Gautami" w:hAnsi="Gautami"/>
          <w:sz w:val="21"/>
          <w:szCs w:val="21"/>
          <w:color w:val="333333"/>
        </w:rPr>
        <w:t>​</w:t>
      </w:r>
      <w:r>
        <w:rPr>
          <w:rFonts w:ascii="Arial" w:cs="Arial" w:eastAsia="Arial" w:hAnsi="Arial"/>
          <w:sz w:val="21"/>
          <w:szCs w:val="21"/>
          <w:color w:val="333333"/>
        </w:rPr>
        <w:t xml:space="preserve"> business operations, trends, costs, revenues, financial commitments, and obligations, to project future revenues and expenses</w:t>
      </w:r>
      <w:r>
        <w:rPr>
          <w:rFonts w:ascii="Gautami" w:cs="Gautami" w:eastAsia="Gautami" w:hAnsi="Gautami"/>
          <w:sz w:val="21"/>
          <w:szCs w:val="21"/>
          <w:color w:val="333333"/>
        </w:rPr>
        <w:t>​</w:t>
      </w:r>
      <w:r>
        <w:rPr>
          <w:rFonts w:ascii="Gautami" w:cs="Gautami" w:eastAsia="Gautami" w:hAnsi="Gautami"/>
          <w:sz w:val="26"/>
          <w:szCs w:val="26"/>
          <w:color w:val="333333"/>
        </w:rPr>
        <w:t>​</w:t>
      </w:r>
      <w:r>
        <w:rPr>
          <w:rFonts w:ascii="Arial" w:cs="Arial" w:eastAsia="Arial" w:hAnsi="Arial"/>
          <w:sz w:val="21"/>
          <w:szCs w:val="21"/>
          <w:color w:val="333333"/>
        </w:rPr>
        <w:t>or to provide advice</w:t>
      </w:r>
      <w:r>
        <w:rPr>
          <w:rFonts w:ascii="Arial" w:cs="Arial" w:eastAsia="Arial" w:hAnsi="Arial"/>
          <w:sz w:val="26"/>
          <w:szCs w:val="26"/>
          <w:color w:val="333333"/>
        </w:rPr>
        <w:t>.</w:t>
      </w:r>
      <w:r>
        <w:rPr>
          <w:rFonts w:ascii="Gautami" w:cs="Gautami" w:eastAsia="Gautami" w:hAnsi="Gautami"/>
          <w:sz w:val="21"/>
          <w:szCs w:val="21"/>
          <w:color w:val="333333"/>
        </w:rPr>
        <w:t>​</w:t>
      </w:r>
    </w:p>
    <w:p>
      <w:pPr>
        <w:ind w:left="820" w:hanging="415"/>
        <w:spacing w:after="0" w:line="188" w:lineRule="auto"/>
        <w:tabs>
          <w:tab w:leader="none" w:pos="820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333333"/>
        </w:rPr>
      </w:pPr>
      <w:r>
        <w:rPr>
          <w:rFonts w:ascii="Arial" w:cs="Arial" w:eastAsia="Arial" w:hAnsi="Arial"/>
          <w:sz w:val="20"/>
          <w:szCs w:val="20"/>
          <w:color w:val="333333"/>
        </w:rPr>
        <w:t>Report</w:t>
      </w:r>
      <w:r>
        <w:rPr>
          <w:rFonts w:ascii="Gautami" w:cs="Gautami" w:eastAsia="Gautami" w:hAnsi="Gautami"/>
          <w:sz w:val="20"/>
          <w:szCs w:val="20"/>
          <w:color w:val="333333"/>
        </w:rPr>
        <w:t>​</w:t>
      </w:r>
      <w:r>
        <w:rPr>
          <w:rFonts w:ascii="Arial" w:cs="Arial" w:eastAsia="Arial" w:hAnsi="Arial"/>
          <w:sz w:val="20"/>
          <w:szCs w:val="20"/>
          <w:color w:val="333333"/>
        </w:rPr>
        <w:t xml:space="preserve"> to management regarding the finances of establishment.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color w:val="333333"/>
        </w:rPr>
      </w:pPr>
    </w:p>
    <w:p>
      <w:pPr>
        <w:ind w:left="760" w:hanging="355"/>
        <w:spacing w:after="0"/>
        <w:tabs>
          <w:tab w:leader="none" w:pos="76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Establish tables of accounts, and assign entries to proper accounts.</w:t>
      </w:r>
    </w:p>
    <w:p>
      <w:pPr>
        <w:spacing w:after="0" w:line="30" w:lineRule="exact"/>
        <w:rPr>
          <w:rFonts w:ascii="Arial" w:cs="Arial" w:eastAsia="Arial" w:hAnsi="Arial"/>
          <w:sz w:val="22"/>
          <w:szCs w:val="22"/>
          <w:color w:val="333333"/>
        </w:rPr>
      </w:pPr>
    </w:p>
    <w:p>
      <w:pPr>
        <w:ind w:left="760" w:right="560" w:hanging="355"/>
        <w:spacing w:after="0" w:line="211" w:lineRule="auto"/>
        <w:tabs>
          <w:tab w:leader="none" w:pos="821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Develop,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maintain, and analyze budgets, preparing periodic reports that compare budgeted costs to actual costs.</w:t>
      </w:r>
    </w:p>
    <w:p>
      <w:pPr>
        <w:ind w:left="760" w:right="240" w:hanging="355"/>
        <w:spacing w:after="0" w:line="214" w:lineRule="auto"/>
        <w:tabs>
          <w:tab w:leader="none" w:pos="821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Develop,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implement, modify, and document recordkeeping and accounting systems, making use of current computer technology.</w:t>
      </w:r>
    </w:p>
    <w:p>
      <w:pPr>
        <w:ind w:left="760" w:right="420" w:hanging="355"/>
        <w:spacing w:after="0" w:line="214" w:lineRule="auto"/>
        <w:tabs>
          <w:tab w:leader="none" w:pos="821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Prepare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forms and manuals for accounting and bookkeeping personnel, and direct their work activities.</w:t>
      </w:r>
    </w:p>
    <w:p>
      <w:pPr>
        <w:ind w:left="760" w:right="400" w:hanging="355"/>
        <w:spacing w:after="0" w:line="214" w:lineRule="auto"/>
        <w:tabs>
          <w:tab w:leader="none" w:pos="821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Survey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operations to ascertain accounting needs and to recommend, develop, and maintain solutions to business and financial problems.</w:t>
      </w:r>
    </w:p>
    <w:p>
      <w:pPr>
        <w:ind w:left="820" w:hanging="415"/>
        <w:spacing w:after="0" w:line="185" w:lineRule="auto"/>
        <w:tabs>
          <w:tab w:leader="none" w:pos="82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Work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as Internal Revenue Service agents.</w:t>
      </w:r>
    </w:p>
    <w:p>
      <w:pPr>
        <w:ind w:left="760" w:right="240" w:hanging="355"/>
        <w:spacing w:after="0" w:line="273" w:lineRule="auto"/>
        <w:tabs>
          <w:tab w:leader="none" w:pos="76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Advise management about issues such as resource utilization, tax strategies, and the assumptions underlying budget forecasts.</w:t>
      </w:r>
    </w:p>
    <w:p>
      <w:pPr>
        <w:ind w:left="820" w:hanging="415"/>
        <w:spacing w:after="0" w:line="185" w:lineRule="auto"/>
        <w:tabs>
          <w:tab w:leader="none" w:pos="82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Provide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internal and external auditing services for businesses and individuals.</w:t>
      </w:r>
    </w:p>
    <w:p>
      <w:pPr>
        <w:jc w:val="both"/>
        <w:ind w:left="760" w:right="500" w:hanging="355"/>
        <w:spacing w:after="0" w:line="227" w:lineRule="auto"/>
        <w:tabs>
          <w:tab w:leader="none" w:pos="821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Advise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clients in areas such as compensation, employee health care benefits, the design of accounting and data processing systems, and long-range tax and estate plans.</w:t>
      </w:r>
    </w:p>
    <w:p>
      <w:pPr>
        <w:ind w:left="760" w:right="80" w:hanging="355"/>
        <w:spacing w:after="0" w:line="214" w:lineRule="auto"/>
        <w:tabs>
          <w:tab w:leader="none" w:pos="821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Investigate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bankruptcies and other complex financial transactions and prepare reports summarizing the findings.</w:t>
      </w:r>
    </w:p>
    <w:p>
      <w:pPr>
        <w:ind w:left="760" w:right="760" w:hanging="355"/>
        <w:spacing w:after="0" w:line="214" w:lineRule="auto"/>
        <w:tabs>
          <w:tab w:leader="none" w:pos="821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Represent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clients before taxing authorities and provide support during litigation involving financial issues.</w:t>
      </w:r>
    </w:p>
    <w:p>
      <w:pPr>
        <w:ind w:left="760" w:right="180" w:hanging="355"/>
        <w:spacing w:after="0" w:line="214" w:lineRule="auto"/>
        <w:tabs>
          <w:tab w:leader="none" w:pos="821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Appraise,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evaluate, and inventory real property and equipment, recording information such as the property's description, value, and location.</w:t>
      </w:r>
    </w:p>
    <w:p>
      <w:pPr>
        <w:ind w:left="820" w:hanging="415"/>
        <w:spacing w:after="0" w:line="185" w:lineRule="auto"/>
        <w:tabs>
          <w:tab w:leader="none" w:pos="82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Maintain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and examine the records of government agencies.</w:t>
      </w:r>
    </w:p>
    <w:p>
      <w:pPr>
        <w:ind w:left="820" w:hanging="415"/>
        <w:spacing w:after="0" w:line="224" w:lineRule="auto"/>
        <w:tabs>
          <w:tab w:leader="none" w:pos="82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Serve</w:t>
      </w:r>
      <w:r>
        <w:rPr>
          <w:rFonts w:ascii="Gautami" w:cs="Gautami" w:eastAsia="Gautami" w:hAnsi="Gautami"/>
          <w:sz w:val="22"/>
          <w:szCs w:val="22"/>
          <w:color w:val="333333"/>
        </w:rPr>
        <w:t>​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as bankruptcy trustees and business valuators.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Declaration</w:t>
      </w:r>
    </w:p>
    <w:p>
      <w:pPr>
        <w:sectPr>
          <w:pgSz w:w="12240" w:h="15840" w:orient="portrait"/>
          <w:cols w:equalWidth="0" w:num="1">
            <w:col w:w="9360"/>
          </w:cols>
          <w:pgMar w:left="1440" w:top="1419" w:right="1440" w:bottom="1440" w:gutter="0" w:footer="0" w:header="0"/>
        </w:sect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 hereby certify that the above mentioned particulars are accurate to the best of my knowledge</w:t>
      </w:r>
    </w:p>
    <w:p>
      <w:pPr>
        <w:sectPr>
          <w:pgSz w:w="12240" w:h="15840" w:orient="portrait"/>
          <w:cols w:equalWidth="0" w:num="1">
            <w:col w:w="9360"/>
          </w:cols>
          <w:pgMar w:left="1440" w:top="1419" w:right="1440" w:bottom="1440" w:gutter="0" w:footer="0" w:header="0"/>
          <w:type w:val="continuous"/>
        </w:sectPr>
      </w:pP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●"/>
      <w:numFmt w:val="bullet"/>
      <w:start w:val="1"/>
    </w:lvl>
  </w:abstractNum>
  <w:abstractNum w:abstractNumId="1">
    <w:nsid w:val="2CD6"/>
    <w:multiLevelType w:val="hybridMultilevel"/>
    <w:lvl w:ilvl="0">
      <w:lvlJc w:val="left"/>
      <w:lvlText w:val="●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●"/>
      <w:numFmt w:val="bullet"/>
      <w:start w:val="1"/>
    </w:lvl>
  </w:abstractNum>
  <w:abstractNum w:abstractNumId="3">
    <w:nsid w:val="6952"/>
    <w:multiLevelType w:val="hybridMultilevel"/>
    <w:lvl w:ilvl="0">
      <w:lvlJc w:val="left"/>
      <w:lvlText w:val="●"/>
      <w:numFmt w:val="bullet"/>
      <w:start w:val="1"/>
    </w:lvl>
  </w:abstractNum>
  <w:abstractNum w:abstractNumId="4">
    <w:nsid w:val="5F90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2018-11-05T12:53:15Z</dcterms:created>
  <dcterms:modified xsi:type="dcterms:W3CDTF">2018-11-05T12:53:15Z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