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A" w:rsidRDefault="00210DDA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0"/>
        <w:gridCol w:w="2000"/>
        <w:gridCol w:w="3920"/>
        <w:gridCol w:w="20"/>
      </w:tblGrid>
      <w:tr w:rsidR="00210DDA">
        <w:trPr>
          <w:trHeight w:val="285"/>
        </w:trPr>
        <w:tc>
          <w:tcPr>
            <w:tcW w:w="4560" w:type="dxa"/>
            <w:gridSpan w:val="3"/>
            <w:vAlign w:val="bottom"/>
          </w:tcPr>
          <w:p w:rsidR="00210DDA" w:rsidRDefault="00F71AB6" w:rsidP="00B52C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SENTHIL </w:t>
            </w:r>
          </w:p>
        </w:tc>
        <w:tc>
          <w:tcPr>
            <w:tcW w:w="3920" w:type="dxa"/>
            <w:vAlign w:val="bottom"/>
          </w:tcPr>
          <w:p w:rsidR="00210DDA" w:rsidRDefault="00F71A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PgMP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PMP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ACP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CITPM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®</w:t>
            </w:r>
            <w:r>
              <w:rPr>
                <w:rFonts w:ascii="Arial" w:eastAsia="Arial" w:hAnsi="Arial" w:cs="Arial"/>
                <w:b/>
                <w:bCs/>
              </w:rPr>
              <w:t>, ITIL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®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488"/>
        </w:trPr>
        <w:tc>
          <w:tcPr>
            <w:tcW w:w="2560" w:type="dxa"/>
            <w:gridSpan w:val="2"/>
            <w:vAlign w:val="bottom"/>
          </w:tcPr>
          <w:p w:rsidR="00210DDA" w:rsidRDefault="00B5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7" w:history="1">
              <w:r w:rsidRPr="00B52C6C">
                <w:rPr>
                  <w:rStyle w:val="Hyperlink"/>
                  <w:sz w:val="20"/>
                  <w:szCs w:val="20"/>
                </w:rPr>
                <w:t>senthil.388094@2freemail.com</w:t>
              </w:r>
            </w:hyperlink>
            <w:r w:rsidRPr="00B52C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  <w:p w:rsidR="00B52C6C" w:rsidRDefault="00B52C6C">
            <w:pPr>
              <w:rPr>
                <w:sz w:val="24"/>
                <w:szCs w:val="24"/>
              </w:rPr>
            </w:pPr>
          </w:p>
          <w:p w:rsidR="00B52C6C" w:rsidRDefault="00B52C6C">
            <w:pPr>
              <w:rPr>
                <w:sz w:val="24"/>
                <w:szCs w:val="24"/>
              </w:rPr>
            </w:pPr>
          </w:p>
          <w:p w:rsidR="00B52C6C" w:rsidRDefault="00B52C6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35"/>
        </w:trPr>
        <w:tc>
          <w:tcPr>
            <w:tcW w:w="4560" w:type="dxa"/>
            <w:gridSpan w:val="3"/>
            <w:shd w:val="clear" w:color="auto" w:fill="CCCCCC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PROFESSIONAL SUMMARY</w:t>
            </w:r>
          </w:p>
        </w:tc>
        <w:tc>
          <w:tcPr>
            <w:tcW w:w="3920" w:type="dxa"/>
            <w:shd w:val="clear" w:color="auto" w:fill="CCCCCC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 w:rsidTr="00B52C6C">
        <w:trPr>
          <w:trHeight w:val="315"/>
        </w:trPr>
        <w:tc>
          <w:tcPr>
            <w:tcW w:w="2540" w:type="dxa"/>
            <w:vMerge w:val="restart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Overall Experience</w:t>
            </w:r>
          </w:p>
        </w:tc>
        <w:tc>
          <w:tcPr>
            <w:tcW w:w="2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210DDA" w:rsidRDefault="00F71A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 Yrs</w:t>
            </w:r>
          </w:p>
        </w:tc>
        <w:tc>
          <w:tcPr>
            <w:tcW w:w="392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20"/>
        </w:trPr>
        <w:tc>
          <w:tcPr>
            <w:tcW w:w="2540" w:type="dxa"/>
            <w:vMerge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26"/>
        </w:trPr>
        <w:tc>
          <w:tcPr>
            <w:tcW w:w="2540" w:type="dxa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Management Experience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210DDA" w:rsidRDefault="00F71AB6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 Yrs</w:t>
            </w:r>
          </w:p>
        </w:tc>
        <w:tc>
          <w:tcPr>
            <w:tcW w:w="392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23"/>
        </w:trPr>
        <w:tc>
          <w:tcPr>
            <w:tcW w:w="2540" w:type="dxa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Education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210DDA" w:rsidRDefault="00F71AB6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Master of Engineering, PgMP, PMP, PMI-ACP, CITPM, ITIL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26"/>
        </w:trPr>
        <w:tc>
          <w:tcPr>
            <w:tcW w:w="2540" w:type="dxa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Technology Domains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210DDA" w:rsidRDefault="00F71AB6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Infrastructure/Operations, Mobile Apps and Java/Web Apps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23"/>
        </w:trPr>
        <w:tc>
          <w:tcPr>
            <w:tcW w:w="2540" w:type="dxa"/>
            <w:vAlign w:val="bottom"/>
          </w:tcPr>
          <w:p w:rsidR="00210DDA" w:rsidRDefault="00F71A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Functional Domains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210DDA" w:rsidRDefault="00F71AB6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Aviation/Airlines, Banking, Retail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09"/>
        </w:trPr>
        <w:tc>
          <w:tcPr>
            <w:tcW w:w="2540" w:type="dxa"/>
            <w:vAlign w:val="bottom"/>
          </w:tcPr>
          <w:p w:rsidR="00210DDA" w:rsidRDefault="00F71AB6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Specialties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210DDA" w:rsidRDefault="00F71AB6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Project/Program Management, Delivery Center Setup and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195"/>
        </w:trPr>
        <w:tc>
          <w:tcPr>
            <w:tcW w:w="2540" w:type="dxa"/>
            <w:vAlign w:val="bottom"/>
          </w:tcPr>
          <w:p w:rsidR="00210DDA" w:rsidRDefault="00210DD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210DDA" w:rsidRDefault="00F71AB6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Management, Delivery Management and Excellence, Pre-Sales and</w:t>
            </w: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  <w:tr w:rsidR="00210DDA">
        <w:trPr>
          <w:trHeight w:val="204"/>
        </w:trPr>
        <w:tc>
          <w:tcPr>
            <w:tcW w:w="254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210DDA" w:rsidRDefault="00F71AB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Business Development</w:t>
            </w:r>
          </w:p>
        </w:tc>
        <w:tc>
          <w:tcPr>
            <w:tcW w:w="392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10DDA" w:rsidRDefault="00210DDA">
            <w:pPr>
              <w:rPr>
                <w:sz w:val="1"/>
                <w:szCs w:val="1"/>
              </w:rPr>
            </w:pPr>
          </w:p>
        </w:tc>
      </w:tr>
    </w:tbl>
    <w:p w:rsidR="00210DDA" w:rsidRDefault="00210D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9pt;margin-top:88.9pt;width:417.95pt;height:12pt;z-index:-251660800;visibility:visible;mso-wrap-distance-left:0;mso-wrap-distance-right:0;mso-position-horizontal-relative:text;mso-position-vertical-relative:text" o:allowincell="f" fillcolor="#ccc" stroked="f"/>
        </w:pict>
      </w:r>
    </w:p>
    <w:p w:rsidR="00210DDA" w:rsidRDefault="00210DDA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B52C6C" w:rsidRDefault="00B52C6C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F71AB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PROFESSIONAL CERTIFICATIONS</w:t>
      </w:r>
    </w:p>
    <w:p w:rsidR="00210DDA" w:rsidRDefault="00210DDA">
      <w:pPr>
        <w:spacing w:line="209" w:lineRule="exact"/>
        <w:rPr>
          <w:sz w:val="24"/>
          <w:szCs w:val="24"/>
        </w:rPr>
      </w:pPr>
    </w:p>
    <w:p w:rsidR="00210DDA" w:rsidRDefault="00F71AB6">
      <w:pPr>
        <w:ind w:lef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IBM Accredited Advisory PM</w:t>
      </w:r>
    </w:p>
    <w:p w:rsidR="00210DDA" w:rsidRDefault="00210DDA">
      <w:pPr>
        <w:spacing w:line="7" w:lineRule="exact"/>
        <w:rPr>
          <w:sz w:val="24"/>
          <w:szCs w:val="24"/>
        </w:rPr>
      </w:pPr>
    </w:p>
    <w:p w:rsidR="00210DDA" w:rsidRDefault="00F71AB6">
      <w:pPr>
        <w:spacing w:line="262" w:lineRule="auto"/>
        <w:ind w:left="560" w:right="4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Program Management Professional (PgMP) – PMI Certified Project Management Professional (PMP) – PMI Certified Agile Certified Practitioner (PMI-ACP) – PMI Certified</w:t>
      </w:r>
    </w:p>
    <w:p w:rsidR="00210DDA" w:rsidRDefault="00210DDA">
      <w:pPr>
        <w:spacing w:line="2" w:lineRule="exact"/>
        <w:rPr>
          <w:sz w:val="24"/>
          <w:szCs w:val="24"/>
        </w:rPr>
      </w:pPr>
    </w:p>
    <w:p w:rsidR="00210DDA" w:rsidRDefault="00F71AB6">
      <w:pPr>
        <w:spacing w:line="276" w:lineRule="auto"/>
        <w:ind w:left="560" w:right="5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Certified IT Project Manager (CITPM) – SCS Certified IT Infrastructure Library (ITIL) – ISEB Certified</w:t>
      </w:r>
    </w:p>
    <w:p w:rsidR="00210DDA" w:rsidRDefault="00210D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9pt;margin-top:13.15pt;width:417.95pt;height:12pt;z-index:-251659776;visibility:visible;mso-wrap-distance-left:0;mso-wrap-distance-right:0" o:allowincell="f" fillcolor="#ccc" stroked="f"/>
        </w:pict>
      </w:r>
    </w:p>
    <w:p w:rsidR="00210DDA" w:rsidRDefault="00210DDA">
      <w:pPr>
        <w:spacing w:line="245" w:lineRule="exact"/>
        <w:rPr>
          <w:sz w:val="24"/>
          <w:szCs w:val="24"/>
        </w:rPr>
      </w:pPr>
    </w:p>
    <w:p w:rsidR="00210DDA" w:rsidRDefault="00F71AB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AWARDS, SCHOLARSHIPS &amp; PROFESSIONAL MEMBERSHIPS</w:t>
      </w:r>
    </w:p>
    <w:p w:rsidR="00210DDA" w:rsidRDefault="00210DDA">
      <w:pPr>
        <w:spacing w:line="216" w:lineRule="exact"/>
        <w:rPr>
          <w:sz w:val="24"/>
          <w:szCs w:val="24"/>
        </w:rPr>
      </w:pPr>
    </w:p>
    <w:p w:rsidR="00210DDA" w:rsidRDefault="00F71AB6">
      <w:pPr>
        <w:ind w:lef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Received Manager’s Choice Award in 2018 / 2017 / 2016</w:t>
      </w:r>
    </w:p>
    <w:p w:rsidR="00210DDA" w:rsidRDefault="00210DDA">
      <w:pPr>
        <w:spacing w:line="16" w:lineRule="exact"/>
        <w:rPr>
          <w:sz w:val="24"/>
          <w:szCs w:val="24"/>
        </w:rPr>
      </w:pPr>
    </w:p>
    <w:p w:rsidR="00210DDA" w:rsidRDefault="00F71AB6">
      <w:pPr>
        <w:spacing w:line="275" w:lineRule="auto"/>
        <w:ind w:left="560" w:right="2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Received IBM Blue Miles and Silver Miles award</w:t>
      </w:r>
      <w:r>
        <w:rPr>
          <w:rFonts w:ascii="Arial" w:eastAsia="Arial" w:hAnsi="Arial" w:cs="Arial"/>
          <w:b/>
          <w:bCs/>
          <w:sz w:val="16"/>
          <w:szCs w:val="16"/>
        </w:rPr>
        <w:t>s for consistent delivery performance Awarded NUS Research Scholarship for pursuing Master’s program</w:t>
      </w:r>
    </w:p>
    <w:p w:rsidR="00210DDA" w:rsidRDefault="00F71AB6">
      <w:pPr>
        <w:ind w:lef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Member of Project Management Institute</w:t>
      </w:r>
    </w:p>
    <w:p w:rsidR="00210DDA" w:rsidRDefault="00210D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9pt;margin-top:14.5pt;width:417.95pt;height:12pt;z-index:-251658752;visibility:visible;mso-wrap-distance-left:0;mso-wrap-distance-right:0" o:allowincell="f" fillcolor="#ccc" stroked="f"/>
        </w:pict>
      </w:r>
    </w:p>
    <w:p w:rsidR="00210DDA" w:rsidRDefault="00210DDA">
      <w:pPr>
        <w:spacing w:line="272" w:lineRule="exact"/>
        <w:rPr>
          <w:sz w:val="24"/>
          <w:szCs w:val="24"/>
        </w:rPr>
      </w:pPr>
    </w:p>
    <w:p w:rsidR="00210DDA" w:rsidRDefault="00F71A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ACADEMIC QUALIFICATIONS</w:t>
      </w:r>
    </w:p>
    <w:p w:rsidR="00210DDA" w:rsidRDefault="00210DDA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420"/>
        <w:gridCol w:w="480"/>
        <w:gridCol w:w="4200"/>
      </w:tblGrid>
      <w:tr w:rsidR="00210DDA">
        <w:trPr>
          <w:trHeight w:val="214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Master’s degree in Engineering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 1996 - Jan 1998</w:t>
            </w:r>
          </w:p>
        </w:tc>
      </w:tr>
      <w:tr w:rsidR="00210DDA">
        <w:trPr>
          <w:trHeight w:val="204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 xml:space="preserve">National University of Singapore </w:t>
            </w: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(NUS)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spacing w:line="205" w:lineRule="exact"/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Research Scholar</w:t>
            </w:r>
          </w:p>
        </w:tc>
      </w:tr>
      <w:tr w:rsidR="00210DDA">
        <w:trPr>
          <w:trHeight w:val="410"/>
        </w:trPr>
        <w:tc>
          <w:tcPr>
            <w:tcW w:w="3680" w:type="dxa"/>
            <w:gridSpan w:val="2"/>
            <w:vAlign w:val="bottom"/>
          </w:tcPr>
          <w:p w:rsidR="00210DDA" w:rsidRDefault="00F71AB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Bachelor’s degree in Engineering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 1991 - May 1995</w:t>
            </w:r>
          </w:p>
        </w:tc>
      </w:tr>
      <w:tr w:rsidR="00210DDA">
        <w:trPr>
          <w:trHeight w:val="207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CEG, Anna University, Chennai, India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Graduated with First Class</w:t>
            </w:r>
          </w:p>
        </w:tc>
      </w:tr>
      <w:tr w:rsidR="00210DDA">
        <w:trPr>
          <w:trHeight w:val="360"/>
        </w:trPr>
        <w:tc>
          <w:tcPr>
            <w:tcW w:w="4160" w:type="dxa"/>
            <w:gridSpan w:val="3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</w:tr>
      <w:tr w:rsidR="00210DDA">
        <w:trPr>
          <w:trHeight w:val="238"/>
        </w:trPr>
        <w:tc>
          <w:tcPr>
            <w:tcW w:w="4160" w:type="dxa"/>
            <w:gridSpan w:val="3"/>
            <w:shd w:val="clear" w:color="auto" w:fill="CCCCCC"/>
            <w:vAlign w:val="bottom"/>
          </w:tcPr>
          <w:p w:rsidR="00210DDA" w:rsidRDefault="00F71AB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 MANAGEMENT COMPETENCIES</w:t>
            </w:r>
          </w:p>
        </w:tc>
        <w:tc>
          <w:tcPr>
            <w:tcW w:w="4200" w:type="dxa"/>
            <w:shd w:val="clear" w:color="auto" w:fill="CCCCCC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</w:tr>
      <w:tr w:rsidR="00210DDA">
        <w:trPr>
          <w:trHeight w:val="460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Project/Program Management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Customer Relations</w:t>
            </w:r>
          </w:p>
        </w:tc>
      </w:tr>
      <w:tr w:rsidR="00210DDA">
        <w:trPr>
          <w:trHeight w:val="236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Agile Implementation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Vendor Selection / Negotiation</w:t>
            </w:r>
          </w:p>
        </w:tc>
      </w:tr>
      <w:tr w:rsidR="00210DDA">
        <w:trPr>
          <w:trHeight w:val="237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Service Delivery Management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Process Improvements / Quality Control</w:t>
            </w:r>
          </w:p>
        </w:tc>
      </w:tr>
      <w:tr w:rsidR="00210DDA">
        <w:trPr>
          <w:trHeight w:val="238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Off-shore Vendor Management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Resource Hiring/Training/Appraisal</w:t>
            </w:r>
          </w:p>
        </w:tc>
      </w:tr>
      <w:tr w:rsidR="00210DDA">
        <w:trPr>
          <w:trHeight w:val="235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Budget Planning/Control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Risk Analysis / Mitigation</w:t>
            </w:r>
          </w:p>
        </w:tc>
      </w:tr>
      <w:tr w:rsidR="00210DDA">
        <w:trPr>
          <w:trHeight w:val="237"/>
        </w:trPr>
        <w:tc>
          <w:tcPr>
            <w:tcW w:w="2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210DDA" w:rsidRDefault="00F71AB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Strategic Planning</w:t>
            </w:r>
          </w:p>
        </w:tc>
        <w:tc>
          <w:tcPr>
            <w:tcW w:w="48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bottom"/>
          </w:tcPr>
          <w:p w:rsidR="00210DDA" w:rsidRDefault="00F71AB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New Business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Development / Pre-Sales</w:t>
            </w:r>
          </w:p>
        </w:tc>
      </w:tr>
    </w:tbl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210DDA">
      <w:pPr>
        <w:spacing w:line="200" w:lineRule="exact"/>
        <w:rPr>
          <w:sz w:val="24"/>
          <w:szCs w:val="24"/>
        </w:rPr>
      </w:pPr>
    </w:p>
    <w:p w:rsidR="00210DDA" w:rsidRDefault="00B52C6C">
      <w:pPr>
        <w:sectPr w:rsidR="00210DDA">
          <w:pgSz w:w="11900" w:h="16838"/>
          <w:pgMar w:top="1440" w:right="586" w:bottom="870" w:left="1440" w:header="0" w:footer="0" w:gutter="0"/>
          <w:cols w:space="720" w:equalWidth="0">
            <w:col w:w="9880"/>
          </w:cols>
        </w:sectPr>
      </w:pPr>
      <w:proofErr w:type="gramStart"/>
      <w:r>
        <w:t>e</w:t>
      </w:r>
      <w:proofErr w:type="gramEnd"/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F71AB6">
      <w:pPr>
        <w:tabs>
          <w:tab w:val="left" w:pos="494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SENTHIL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</w:rPr>
        <w:t>PgMP</w:t>
      </w:r>
      <w:proofErr w:type="spellEnd"/>
      <w:r>
        <w:rPr>
          <w:rFonts w:ascii="Arial" w:eastAsia="Arial" w:hAnsi="Arial" w:cs="Arial"/>
          <w:b/>
          <w:bCs/>
          <w:sz w:val="12"/>
          <w:szCs w:val="12"/>
        </w:rPr>
        <w:t>®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</w:rPr>
        <w:t xml:space="preserve"> PMP</w:t>
      </w:r>
      <w:r>
        <w:rPr>
          <w:rFonts w:ascii="Arial" w:eastAsia="Arial" w:hAnsi="Arial" w:cs="Arial"/>
          <w:b/>
          <w:bCs/>
          <w:sz w:val="12"/>
          <w:szCs w:val="12"/>
        </w:rPr>
        <w:t>®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</w:rPr>
        <w:t xml:space="preserve"> ACP</w:t>
      </w:r>
      <w:r>
        <w:rPr>
          <w:rFonts w:ascii="Arial" w:eastAsia="Arial" w:hAnsi="Arial" w:cs="Arial"/>
          <w:b/>
          <w:bCs/>
          <w:sz w:val="12"/>
          <w:szCs w:val="12"/>
        </w:rPr>
        <w:t>®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</w:rPr>
        <w:t xml:space="preserve"> CITPM</w:t>
      </w:r>
      <w:r>
        <w:rPr>
          <w:rFonts w:ascii="Arial" w:eastAsia="Arial" w:hAnsi="Arial" w:cs="Arial"/>
          <w:b/>
          <w:bCs/>
          <w:sz w:val="15"/>
          <w:szCs w:val="15"/>
        </w:rPr>
        <w:t>®</w:t>
      </w:r>
      <w:r>
        <w:rPr>
          <w:rFonts w:ascii="Arial" w:eastAsia="Arial" w:hAnsi="Arial" w:cs="Arial"/>
          <w:b/>
          <w:bCs/>
        </w:rPr>
        <w:t>, ITIL</w:t>
      </w:r>
      <w:r>
        <w:rPr>
          <w:rFonts w:ascii="Arial" w:eastAsia="Arial" w:hAnsi="Arial" w:cs="Arial"/>
          <w:b/>
          <w:bCs/>
          <w:sz w:val="15"/>
          <w:szCs w:val="15"/>
        </w:rPr>
        <w:t>®</w:t>
      </w:r>
    </w:p>
    <w:p w:rsidR="00210DDA" w:rsidRDefault="00210D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9pt;margin-top:14.1pt;width:417.95pt;height:11.85pt;z-index:-251657728;visibility:visible;mso-wrap-distance-left:0;mso-wrap-distance-right:0" o:allowincell="f" fillcolor="#ccc" stroked="f"/>
        </w:pict>
      </w:r>
    </w:p>
    <w:p w:rsidR="00210DDA" w:rsidRDefault="00210DDA">
      <w:pPr>
        <w:spacing w:line="264" w:lineRule="exact"/>
        <w:rPr>
          <w:sz w:val="20"/>
          <w:szCs w:val="20"/>
        </w:rPr>
      </w:pPr>
    </w:p>
    <w:p w:rsidR="00210DDA" w:rsidRDefault="00F71AB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PROFESSIONAL EXPERIENCE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58" w:lineRule="auto"/>
        <w:ind w:left="200" w:righ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Senior Project Manager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Jun 2012 – Till Date IBM (India) Pvt Ltd, India (IT Infrastructure)</w:t>
      </w: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54" w:lineRule="exact"/>
        <w:rPr>
          <w:sz w:val="20"/>
          <w:szCs w:val="20"/>
        </w:rPr>
      </w:pPr>
    </w:p>
    <w:p w:rsidR="00210DDA" w:rsidRDefault="00F71A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Technologies/Services : SAN Storage, Network Switches, Server Build/Decom, SAP Basis, Oracle</w:t>
      </w:r>
    </w:p>
    <w:p w:rsidR="00210DDA" w:rsidRDefault="00F71AB6">
      <w:pPr>
        <w:spacing w:line="230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Client Account(s) : Henkel (Germany), Greater Toronto Airports Authority (Canada)</w:t>
      </w:r>
    </w:p>
    <w:p w:rsidR="00210DDA" w:rsidRDefault="00210DDA">
      <w:pPr>
        <w:spacing w:line="216" w:lineRule="exact"/>
        <w:rPr>
          <w:sz w:val="20"/>
          <w:szCs w:val="20"/>
        </w:rPr>
      </w:pPr>
    </w:p>
    <w:p w:rsidR="00210DDA" w:rsidRDefault="00F71A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Received </w:t>
      </w:r>
      <w:r>
        <w:rPr>
          <w:rFonts w:ascii="Arial" w:eastAsia="Arial" w:hAnsi="Arial" w:cs="Arial"/>
          <w:b/>
          <w:bCs/>
          <w:sz w:val="18"/>
          <w:szCs w:val="18"/>
        </w:rPr>
        <w:t>IBM Blue Miles and Silver Miles awards for consistent delivery performance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67" w:lineRule="auto"/>
        <w:ind w:left="560" w:righ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As Agile focal, implemented Agile practices like Daily standups, Sprint planning, Retrospectives. Implemented Kanban board using MURAL virtual collaboration tool resulting in visua</w:t>
      </w:r>
      <w:r>
        <w:rPr>
          <w:rFonts w:ascii="Arial" w:eastAsia="Arial" w:hAnsi="Arial" w:cs="Arial"/>
          <w:b/>
          <w:bCs/>
          <w:sz w:val="16"/>
          <w:szCs w:val="16"/>
        </w:rPr>
        <w:t>l presentation of Portfolio level activities, improved team collaboration and knowledge sharing</w:t>
      </w:r>
    </w:p>
    <w:p w:rsidR="00210DDA" w:rsidRDefault="00F71AB6">
      <w:pPr>
        <w:spacing w:line="228" w:lineRule="auto"/>
        <w:ind w:left="560"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Managing, high visibility, large/complex infrastructure projects like SAN Refresh, Switch Upgrade, Server Refresh and SAP Oracle upgrade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69" w:lineRule="auto"/>
        <w:ind w:left="56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Represented IBM, along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with PE and Senior DPE, in the GTAA Steering Committee meetings held with GTAA’s CIO on the high visibility, large/complex Infrastructure Projects</w:t>
      </w:r>
    </w:p>
    <w:p w:rsidR="00210DDA" w:rsidRDefault="00F71AB6">
      <w:pPr>
        <w:spacing w:line="267" w:lineRule="auto"/>
        <w:ind w:left="56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Successfully completed SAN Refresh to migrate over 200 servers and 200 TB data, across 3 Data Centers, from </w:t>
      </w:r>
      <w:r>
        <w:rPr>
          <w:rFonts w:ascii="Arial" w:eastAsia="Arial" w:hAnsi="Arial" w:cs="Arial"/>
          <w:b/>
          <w:bCs/>
          <w:sz w:val="16"/>
          <w:szCs w:val="16"/>
        </w:rPr>
        <w:t>HP EVA SAN to IBM XIV SAN. This SAN Refresh project helped position IBM to avoid a $10,000 monthly support cost in 2014 and GTAA to avoid over $200,000 in maintenance costs.</w:t>
      </w:r>
    </w:p>
    <w:p w:rsidR="00210DDA" w:rsidRDefault="00F71AB6">
      <w:pPr>
        <w:spacing w:line="230" w:lineRule="auto"/>
        <w:ind w:left="560" w:righ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Successfully completed major upgrade of 86 network switches, across entire GTAA en</w:t>
      </w:r>
      <w:r>
        <w:rPr>
          <w:rFonts w:ascii="Arial" w:eastAsia="Arial" w:hAnsi="Arial" w:cs="Arial"/>
          <w:b/>
          <w:bCs/>
          <w:sz w:val="18"/>
          <w:szCs w:val="18"/>
        </w:rPr>
        <w:t>vironment. At over 34 million passengers a year, Toronto Pearson International Airport, is Canada’s busiest Airport and this upgrade touched every IBM Managed system and various systems managed by other vendors and Terminal tenants.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31" w:lineRule="auto"/>
        <w:ind w:left="56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Successfully completed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Horizon Operational Concept project to define Governance model and to track key Operational metrics / reports for Henkel’s SAP Horizon landscape running business critical applications</w:t>
      </w:r>
    </w:p>
    <w:p w:rsidR="00210DDA" w:rsidRDefault="00210DDA">
      <w:pPr>
        <w:spacing w:line="16" w:lineRule="exact"/>
        <w:rPr>
          <w:sz w:val="20"/>
          <w:szCs w:val="20"/>
        </w:rPr>
      </w:pPr>
    </w:p>
    <w:p w:rsidR="00210DDA" w:rsidRDefault="00F71AB6">
      <w:pPr>
        <w:spacing w:line="228" w:lineRule="auto"/>
        <w:ind w:left="560"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Handling large/complex project for Henkel to upgrade around 90 busines</w:t>
      </w:r>
      <w:r>
        <w:rPr>
          <w:rFonts w:ascii="Arial" w:eastAsia="Arial" w:hAnsi="Arial" w:cs="Arial"/>
          <w:b/>
          <w:bCs/>
          <w:sz w:val="18"/>
          <w:szCs w:val="18"/>
        </w:rPr>
        <w:t>s critical SAP systems to Oracle 12c and to perform Advance Compression Option (ACO).</w:t>
      </w:r>
    </w:p>
    <w:p w:rsidR="00210DDA" w:rsidRDefault="00210DDA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160"/>
        <w:gridCol w:w="3220"/>
      </w:tblGrid>
      <w:tr w:rsidR="00210DDA">
        <w:trPr>
          <w:trHeight w:val="218"/>
        </w:trPr>
        <w:tc>
          <w:tcPr>
            <w:tcW w:w="5080" w:type="dxa"/>
            <w:gridSpan w:val="2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Delivery Manager</w:t>
            </w:r>
          </w:p>
        </w:tc>
        <w:tc>
          <w:tcPr>
            <w:tcW w:w="322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</w:tr>
      <w:tr w:rsidR="00210DDA">
        <w:trPr>
          <w:trHeight w:val="20"/>
        </w:trPr>
        <w:tc>
          <w:tcPr>
            <w:tcW w:w="1920" w:type="dxa"/>
            <w:shd w:val="clear" w:color="auto" w:fill="000000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DDA">
        <w:trPr>
          <w:trHeight w:val="241"/>
        </w:trPr>
        <w:tc>
          <w:tcPr>
            <w:tcW w:w="5080" w:type="dxa"/>
            <w:gridSpan w:val="2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Tagit (India) Pvt Ltd, Chennai, India</w:t>
            </w:r>
          </w:p>
        </w:tc>
        <w:tc>
          <w:tcPr>
            <w:tcW w:w="3220" w:type="dxa"/>
            <w:vAlign w:val="bottom"/>
          </w:tcPr>
          <w:p w:rsidR="00210DDA" w:rsidRDefault="00F71AB6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Dec 2010 – Oct 2011</w:t>
            </w:r>
          </w:p>
        </w:tc>
      </w:tr>
      <w:tr w:rsidR="00210DDA">
        <w:trPr>
          <w:trHeight w:val="238"/>
        </w:trPr>
        <w:tc>
          <w:tcPr>
            <w:tcW w:w="5080" w:type="dxa"/>
            <w:gridSpan w:val="2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Tagit (S) Pte Ltd, Singapore</w:t>
            </w:r>
          </w:p>
        </w:tc>
        <w:tc>
          <w:tcPr>
            <w:tcW w:w="3220" w:type="dxa"/>
            <w:vAlign w:val="bottom"/>
          </w:tcPr>
          <w:p w:rsidR="00210DDA" w:rsidRDefault="00F71AB6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Aug 2010 – Nov 2010</w:t>
            </w:r>
          </w:p>
        </w:tc>
      </w:tr>
    </w:tbl>
    <w:p w:rsidR="00210DDA" w:rsidRDefault="00210DDA">
      <w:pPr>
        <w:spacing w:line="226" w:lineRule="exact"/>
        <w:rPr>
          <w:sz w:val="20"/>
          <w:szCs w:val="20"/>
        </w:rPr>
      </w:pPr>
    </w:p>
    <w:p w:rsidR="00210DDA" w:rsidRDefault="00F71A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Technologies/Services : iPhone, </w:t>
      </w:r>
      <w:r>
        <w:rPr>
          <w:rFonts w:ascii="Arial" w:eastAsia="Arial" w:hAnsi="Arial" w:cs="Arial"/>
          <w:b/>
          <w:bCs/>
          <w:sz w:val="18"/>
          <w:szCs w:val="18"/>
        </w:rPr>
        <w:t>iPad, Android, Blackberry, J2ME, WAP</w:t>
      </w:r>
    </w:p>
    <w:p w:rsidR="00210DDA" w:rsidRDefault="00F71AB6">
      <w:pPr>
        <w:spacing w:line="230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Domains : Mobile Banking, Mobile Airline Ticketing, Mobile Movie Ticketing, Enterprise Mobility</w:t>
      </w:r>
    </w:p>
    <w:p w:rsidR="00210DDA" w:rsidRDefault="00210DDA">
      <w:pPr>
        <w:spacing w:line="248" w:lineRule="exact"/>
        <w:rPr>
          <w:sz w:val="20"/>
          <w:szCs w:val="20"/>
        </w:rPr>
      </w:pPr>
    </w:p>
    <w:p w:rsidR="00210DDA" w:rsidRDefault="00F71AB6">
      <w:pPr>
        <w:spacing w:line="235" w:lineRule="auto"/>
        <w:ind w:left="560" w:righ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Head of Service Delivery organization of Tagit’s Chennai Offshore Delivery Center Reporting to CEO and CTO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69" w:lineRule="auto"/>
        <w:ind w:left="560"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Successfully d</w:t>
      </w:r>
      <w:r>
        <w:rPr>
          <w:rFonts w:ascii="Arial" w:eastAsia="Arial" w:hAnsi="Arial" w:cs="Arial"/>
          <w:b/>
          <w:bCs/>
          <w:sz w:val="16"/>
          <w:szCs w:val="16"/>
        </w:rPr>
        <w:t>elivered several Mobile Banking projects for leading banks across the globe including Standard Chartered Bank, Citibank, Royal Bank of Canada, Commercial Bank of Dubai (CBD)</w:t>
      </w:r>
    </w:p>
    <w:p w:rsidR="00210DDA" w:rsidRDefault="00F71AB6">
      <w:pPr>
        <w:spacing w:line="267" w:lineRule="auto"/>
        <w:ind w:left="560" w:righ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Managed a portfolio of projects worth over One Million USD across different domain</w:t>
      </w:r>
      <w:r>
        <w:rPr>
          <w:rFonts w:ascii="Arial" w:eastAsia="Arial" w:hAnsi="Arial" w:cs="Arial"/>
          <w:b/>
          <w:bCs/>
          <w:sz w:val="16"/>
          <w:szCs w:val="16"/>
        </w:rPr>
        <w:t>s including Mobile banking, Mobile airline ticketing, Mobile movie ticketing and Enterprise mobility</w:t>
      </w:r>
    </w:p>
    <w:p w:rsidR="00210DDA" w:rsidRDefault="00210DDA">
      <w:pPr>
        <w:spacing w:line="1" w:lineRule="exact"/>
        <w:rPr>
          <w:sz w:val="20"/>
          <w:szCs w:val="20"/>
        </w:rPr>
      </w:pPr>
    </w:p>
    <w:p w:rsidR="00210DDA" w:rsidRDefault="00F71AB6">
      <w:pPr>
        <w:spacing w:line="229" w:lineRule="auto"/>
        <w:ind w:left="560" w:righ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Managed a 50-member team with 5 Project Managers (direct reports) serving over 12 customers across India, South east Asia, Middle east &amp; North America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28" w:lineRule="auto"/>
        <w:ind w:left="560" w:righ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Performed fiscal management &amp; reporting including tracking &amp; reporting of Actual Vs Planned, Accruals reporting, reporting CAPEX spend, etc.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6" w:lineRule="auto"/>
        <w:ind w:left="560" w:righ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Performed resource management activities including hiring, training, appraisal, tracking and reporting resource ut</w:t>
      </w:r>
      <w:r>
        <w:rPr>
          <w:rFonts w:ascii="Arial" w:eastAsia="Arial" w:hAnsi="Arial" w:cs="Arial"/>
          <w:b/>
          <w:bCs/>
          <w:sz w:val="18"/>
          <w:szCs w:val="18"/>
        </w:rPr>
        <w:t>ilization</w:t>
      </w:r>
    </w:p>
    <w:p w:rsidR="00210DDA" w:rsidRDefault="00210DDA">
      <w:pPr>
        <w:spacing w:line="20" w:lineRule="exact"/>
        <w:rPr>
          <w:sz w:val="20"/>
          <w:szCs w:val="20"/>
        </w:rPr>
      </w:pPr>
    </w:p>
    <w:p w:rsidR="00210DDA" w:rsidRDefault="00F71AB6">
      <w:pPr>
        <w:spacing w:line="228" w:lineRule="auto"/>
        <w:ind w:left="560" w:righ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Performed Pre-sales activities to up-sell and cross-sell Tagit solutions to its existing customers, in addition to assisting Pre-sales teams on new opportunities</w:t>
      </w:r>
    </w:p>
    <w:p w:rsidR="00210DDA" w:rsidRDefault="00210DDA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000"/>
        <w:gridCol w:w="3080"/>
        <w:gridCol w:w="640"/>
        <w:gridCol w:w="2000"/>
        <w:gridCol w:w="1160"/>
      </w:tblGrid>
      <w:tr w:rsidR="00210DDA">
        <w:trPr>
          <w:trHeight w:val="220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Service Delivery Manager</w:t>
            </w:r>
          </w:p>
        </w:tc>
        <w:tc>
          <w:tcPr>
            <w:tcW w:w="308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210DDA" w:rsidRDefault="00F71AB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 2008 – Jan 2010</w:t>
            </w: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19"/>
                <w:szCs w:val="19"/>
              </w:rPr>
            </w:pPr>
          </w:p>
        </w:tc>
      </w:tr>
      <w:tr w:rsidR="00210DDA">
        <w:trPr>
          <w:trHeight w:val="244"/>
        </w:trPr>
        <w:tc>
          <w:tcPr>
            <w:tcW w:w="5880" w:type="dxa"/>
            <w:gridSpan w:val="3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Diageo (S) Pte Ltd, Singapore (IT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Infrastructure / SAP)</w:t>
            </w:r>
          </w:p>
        </w:tc>
        <w:tc>
          <w:tcPr>
            <w:tcW w:w="64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</w:tr>
      <w:tr w:rsidR="00210DDA">
        <w:trPr>
          <w:trHeight w:val="445"/>
        </w:trPr>
        <w:tc>
          <w:tcPr>
            <w:tcW w:w="2800" w:type="dxa"/>
            <w:gridSpan w:val="2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Project Manager</w:t>
            </w:r>
          </w:p>
        </w:tc>
        <w:tc>
          <w:tcPr>
            <w:tcW w:w="308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210DDA" w:rsidRDefault="00F71AB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 2006 – May 2008</w:t>
            </w: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</w:tr>
      <w:tr w:rsidR="00210DDA">
        <w:trPr>
          <w:trHeight w:val="22"/>
        </w:trPr>
        <w:tc>
          <w:tcPr>
            <w:tcW w:w="1800" w:type="dxa"/>
            <w:shd w:val="clear" w:color="auto" w:fill="000000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DDA">
        <w:trPr>
          <w:trHeight w:val="244"/>
        </w:trPr>
        <w:tc>
          <w:tcPr>
            <w:tcW w:w="5880" w:type="dxa"/>
            <w:gridSpan w:val="3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Nokia (S) Pte Ltd, Singapore (Web Applications)</w:t>
            </w:r>
          </w:p>
        </w:tc>
        <w:tc>
          <w:tcPr>
            <w:tcW w:w="64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21"/>
                <w:szCs w:val="21"/>
              </w:rPr>
            </w:pPr>
          </w:p>
        </w:tc>
      </w:tr>
      <w:tr w:rsidR="00210DDA">
        <w:trPr>
          <w:trHeight w:val="445"/>
        </w:trPr>
        <w:tc>
          <w:tcPr>
            <w:tcW w:w="2800" w:type="dxa"/>
            <w:gridSpan w:val="2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Project Manager</w:t>
            </w:r>
          </w:p>
        </w:tc>
        <w:tc>
          <w:tcPr>
            <w:tcW w:w="308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210DDA" w:rsidRDefault="00F71AB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Feb 2005 – May 2006</w:t>
            </w: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</w:tr>
      <w:tr w:rsidR="00210DDA">
        <w:trPr>
          <w:trHeight w:val="22"/>
        </w:trPr>
        <w:tc>
          <w:tcPr>
            <w:tcW w:w="1800" w:type="dxa"/>
            <w:shd w:val="clear" w:color="auto" w:fill="000000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DDA">
        <w:trPr>
          <w:trHeight w:val="239"/>
        </w:trPr>
        <w:tc>
          <w:tcPr>
            <w:tcW w:w="5880" w:type="dxa"/>
            <w:gridSpan w:val="3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Zen Consulting Pte. Ltd., Singapore (Web Applciations)</w:t>
            </w:r>
          </w:p>
        </w:tc>
        <w:tc>
          <w:tcPr>
            <w:tcW w:w="64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</w:tr>
      <w:tr w:rsidR="00210DDA">
        <w:trPr>
          <w:trHeight w:val="757"/>
        </w:trPr>
        <w:tc>
          <w:tcPr>
            <w:tcW w:w="2800" w:type="dxa"/>
            <w:gridSpan w:val="2"/>
            <w:vAlign w:val="bottom"/>
          </w:tcPr>
          <w:p w:rsidR="00210DDA" w:rsidRDefault="00210DD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210DDA" w:rsidRDefault="00210DDA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210DDA" w:rsidRDefault="00210D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ind w:left="700"/>
              <w:rPr>
                <w:sz w:val="20"/>
                <w:szCs w:val="20"/>
              </w:rPr>
            </w:pPr>
          </w:p>
        </w:tc>
      </w:tr>
      <w:tr w:rsidR="00210DDA">
        <w:trPr>
          <w:trHeight w:val="20"/>
        </w:trPr>
        <w:tc>
          <w:tcPr>
            <w:tcW w:w="180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shd w:val="clear" w:color="auto" w:fill="0000FF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10DDA" w:rsidRDefault="00210DDA">
      <w:pPr>
        <w:sectPr w:rsidR="00210DDA">
          <w:pgSz w:w="11900" w:h="16838"/>
          <w:pgMar w:top="1440" w:right="586" w:bottom="866" w:left="1440" w:header="0" w:footer="0" w:gutter="0"/>
          <w:cols w:space="720" w:equalWidth="0">
            <w:col w:w="9880"/>
          </w:cols>
        </w:sectPr>
      </w:pPr>
    </w:p>
    <w:p w:rsidR="00210DDA" w:rsidRDefault="00210DDA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00"/>
        <w:gridCol w:w="1040"/>
        <w:gridCol w:w="140"/>
        <w:gridCol w:w="1400"/>
        <w:gridCol w:w="4020"/>
      </w:tblGrid>
      <w:tr w:rsidR="00210DDA">
        <w:trPr>
          <w:trHeight w:val="285"/>
        </w:trPr>
        <w:tc>
          <w:tcPr>
            <w:tcW w:w="4480" w:type="dxa"/>
            <w:gridSpan w:val="5"/>
            <w:vAlign w:val="bottom"/>
          </w:tcPr>
          <w:p w:rsidR="00210DDA" w:rsidRDefault="00F71AB6" w:rsidP="00B52C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SENTHIL </w:t>
            </w:r>
          </w:p>
        </w:tc>
        <w:tc>
          <w:tcPr>
            <w:tcW w:w="4020" w:type="dxa"/>
            <w:vAlign w:val="bottom"/>
          </w:tcPr>
          <w:p w:rsidR="00210DDA" w:rsidRDefault="00F71AB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PgMP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PMP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ACP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b/>
                <w:bCs/>
              </w:rPr>
              <w:t xml:space="preserve"> CITPM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®</w:t>
            </w:r>
            <w:r>
              <w:rPr>
                <w:rFonts w:ascii="Arial" w:eastAsia="Arial" w:hAnsi="Arial" w:cs="Arial"/>
                <w:b/>
                <w:bCs/>
              </w:rPr>
              <w:t>, ITIL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®</w:t>
            </w:r>
          </w:p>
        </w:tc>
      </w:tr>
      <w:tr w:rsidR="00210DDA">
        <w:trPr>
          <w:trHeight w:val="396"/>
        </w:trPr>
        <w:tc>
          <w:tcPr>
            <w:tcW w:w="4480" w:type="dxa"/>
            <w:gridSpan w:val="5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Project Manager</w:t>
            </w:r>
          </w:p>
        </w:tc>
        <w:tc>
          <w:tcPr>
            <w:tcW w:w="4020" w:type="dxa"/>
            <w:vAlign w:val="bottom"/>
          </w:tcPr>
          <w:p w:rsidR="00210DDA" w:rsidRDefault="00F71AB6">
            <w:pPr>
              <w:ind w:left="1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Feb 2001 – Jan 2005</w:t>
            </w:r>
          </w:p>
        </w:tc>
      </w:tr>
      <w:tr w:rsidR="00210DDA">
        <w:trPr>
          <w:trHeight w:val="20"/>
        </w:trPr>
        <w:tc>
          <w:tcPr>
            <w:tcW w:w="1800" w:type="dxa"/>
            <w:shd w:val="clear" w:color="auto" w:fill="000000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DDA">
        <w:trPr>
          <w:trHeight w:val="241"/>
        </w:trPr>
        <w:tc>
          <w:tcPr>
            <w:tcW w:w="8500" w:type="dxa"/>
            <w:gridSpan w:val="6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Asprecise (S) Pte. Ltd., Singapore (Web Applications)</w:t>
            </w:r>
          </w:p>
        </w:tc>
      </w:tr>
      <w:tr w:rsidR="00210DDA">
        <w:trPr>
          <w:trHeight w:val="450"/>
        </w:trPr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Mechanical Design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Engineer</w:t>
            </w:r>
          </w:p>
        </w:tc>
        <w:tc>
          <w:tcPr>
            <w:tcW w:w="1400" w:type="dxa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210DDA" w:rsidRDefault="00F71AB6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Feb 1998 - Jan 2001</w:t>
            </w:r>
          </w:p>
        </w:tc>
      </w:tr>
      <w:tr w:rsidR="00210DDA">
        <w:trPr>
          <w:trHeight w:val="241"/>
        </w:trPr>
        <w:tc>
          <w:tcPr>
            <w:tcW w:w="4480" w:type="dxa"/>
            <w:gridSpan w:val="5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Emerson (S) Pte. Ltd, Singapore</w:t>
            </w:r>
          </w:p>
        </w:tc>
        <w:tc>
          <w:tcPr>
            <w:tcW w:w="4020" w:type="dxa"/>
            <w:vAlign w:val="bottom"/>
          </w:tcPr>
          <w:p w:rsidR="00210DDA" w:rsidRDefault="00210DDA">
            <w:pPr>
              <w:rPr>
                <w:sz w:val="20"/>
                <w:szCs w:val="20"/>
              </w:rPr>
            </w:pPr>
          </w:p>
        </w:tc>
      </w:tr>
      <w:tr w:rsidR="00210DDA">
        <w:trPr>
          <w:trHeight w:val="447"/>
        </w:trPr>
        <w:tc>
          <w:tcPr>
            <w:tcW w:w="4480" w:type="dxa"/>
            <w:gridSpan w:val="5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Research Scholar</w:t>
            </w:r>
          </w:p>
        </w:tc>
        <w:tc>
          <w:tcPr>
            <w:tcW w:w="4020" w:type="dxa"/>
            <w:vAlign w:val="bottom"/>
          </w:tcPr>
          <w:p w:rsidR="00210DDA" w:rsidRDefault="00F71AB6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Jan 1996 - Jan 1998</w:t>
            </w:r>
          </w:p>
        </w:tc>
      </w:tr>
      <w:tr w:rsidR="00210DDA">
        <w:trPr>
          <w:trHeight w:val="22"/>
        </w:trPr>
        <w:tc>
          <w:tcPr>
            <w:tcW w:w="1900" w:type="dxa"/>
            <w:gridSpan w:val="2"/>
            <w:shd w:val="clear" w:color="auto" w:fill="000000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210DDA" w:rsidRDefault="00210D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DDA">
        <w:trPr>
          <w:trHeight w:val="242"/>
        </w:trPr>
        <w:tc>
          <w:tcPr>
            <w:tcW w:w="8500" w:type="dxa"/>
            <w:gridSpan w:val="6"/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National University of Singapore, Singapore</w:t>
            </w:r>
          </w:p>
        </w:tc>
      </w:tr>
      <w:tr w:rsidR="00210DDA">
        <w:trPr>
          <w:trHeight w:val="456"/>
        </w:trPr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210DDA" w:rsidRDefault="00F71A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Graduate Engineer Trainee</w:t>
            </w:r>
          </w:p>
        </w:tc>
        <w:tc>
          <w:tcPr>
            <w:tcW w:w="1540" w:type="dxa"/>
            <w:gridSpan w:val="2"/>
            <w:vAlign w:val="bottom"/>
          </w:tcPr>
          <w:p w:rsidR="00210DDA" w:rsidRDefault="00210DD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210DDA" w:rsidRDefault="00F71AB6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July 1995 - Dec 1995</w:t>
            </w:r>
          </w:p>
        </w:tc>
      </w:tr>
    </w:tbl>
    <w:p w:rsidR="00210DDA" w:rsidRDefault="00210D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9pt;margin-top:25.9pt;width:417.95pt;height:11.75pt;z-index:-251656704;visibility:visible;mso-wrap-distance-left:0;mso-wrap-distance-right:0;mso-position-horizontal-relative:text;mso-position-vertical-relative:text" o:allowincell="f" fillcolor="#ccc" stroked="f"/>
        </w:pict>
      </w: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300" w:lineRule="exact"/>
        <w:rPr>
          <w:sz w:val="20"/>
          <w:szCs w:val="20"/>
        </w:rPr>
      </w:pPr>
    </w:p>
    <w:p w:rsidR="00210DDA" w:rsidRDefault="00F71A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ROLES PERFORMED</w:t>
      </w:r>
    </w:p>
    <w:p w:rsidR="00210DDA" w:rsidRDefault="00210DDA">
      <w:pPr>
        <w:spacing w:line="187" w:lineRule="exact"/>
        <w:rPr>
          <w:sz w:val="20"/>
          <w:szCs w:val="20"/>
        </w:rPr>
      </w:pPr>
    </w:p>
    <w:p w:rsidR="00210DDA" w:rsidRDefault="00F71AB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Project/Program Management</w:t>
      </w:r>
    </w:p>
    <w:p w:rsidR="00210DDA" w:rsidRDefault="00210DDA">
      <w:pPr>
        <w:spacing w:line="227" w:lineRule="exact"/>
        <w:rPr>
          <w:sz w:val="20"/>
          <w:szCs w:val="20"/>
        </w:rPr>
      </w:pPr>
    </w:p>
    <w:p w:rsidR="00210DDA" w:rsidRDefault="00F71AB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Enforce strategy and direction to enhance project execution/consulting efficiency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9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Formulate business and/or IT blueprint with specific process improvements and IT solution recommendations</w:t>
      </w:r>
    </w:p>
    <w:p w:rsidR="00210DDA" w:rsidRDefault="00210DDA">
      <w:pPr>
        <w:spacing w:line="18" w:lineRule="exact"/>
        <w:rPr>
          <w:sz w:val="20"/>
          <w:szCs w:val="20"/>
        </w:rPr>
      </w:pPr>
    </w:p>
    <w:p w:rsidR="00210DDA" w:rsidRDefault="00F71AB6">
      <w:pPr>
        <w:spacing w:line="227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financials to achieve revenue and profitability targets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Maintain 90% or better realization rates for all resources on billable projects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80" w:lineRule="auto"/>
        <w:ind w:left="660" w:right="1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Maintain aggregate 80% or greater score for customer satisfaction on projects delivered by the Program Comply with financial schedules, procedures and directives (e.g. monthly</w:t>
      </w:r>
      <w:r>
        <w:rPr>
          <w:rFonts w:ascii="Arial" w:eastAsia="Arial" w:hAnsi="Arial" w:cs="Arial"/>
          <w:b/>
          <w:bCs/>
          <w:sz w:val="16"/>
          <w:szCs w:val="16"/>
        </w:rPr>
        <w:t>/quarterly revenue processing,</w:t>
      </w:r>
    </w:p>
    <w:p w:rsidR="00210DDA" w:rsidRDefault="00F71AB6">
      <w:pPr>
        <w:spacing w:line="228" w:lineRule="auto"/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invoicing, customer satisfaction surveys, and forecasting)</w:t>
      </w:r>
    </w:p>
    <w:p w:rsidR="00210DDA" w:rsidRDefault="00210DDA">
      <w:pPr>
        <w:spacing w:line="2" w:lineRule="exact"/>
        <w:rPr>
          <w:sz w:val="20"/>
          <w:szCs w:val="20"/>
        </w:rPr>
      </w:pPr>
    </w:p>
    <w:p w:rsidR="00210DDA" w:rsidRDefault="00F71AB6">
      <w:pPr>
        <w:spacing w:line="231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Implement quality assurance and risk management plans and comply with delivery, quality control, and quality assurance methodologies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2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Address Escalations, Track/Reso</w:t>
      </w:r>
      <w:r>
        <w:rPr>
          <w:rFonts w:ascii="Arial" w:eastAsia="Arial" w:hAnsi="Arial" w:cs="Arial"/>
          <w:b/>
          <w:bCs/>
          <w:sz w:val="18"/>
          <w:szCs w:val="18"/>
        </w:rPr>
        <w:t>lve issues with a sense of urgency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9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Oversee and personally deliver strategic engagements for customers to meet or exceed customer expectations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92" w:lineRule="auto"/>
        <w:ind w:left="660" w:righ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Perform post project reviews for purpose of continuously improving service offering Develop client relationships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leading to add-on opportunities</w:t>
      </w:r>
    </w:p>
    <w:p w:rsidR="00210DDA" w:rsidRDefault="00210DDA">
      <w:pPr>
        <w:spacing w:line="203" w:lineRule="exact"/>
        <w:rPr>
          <w:sz w:val="20"/>
          <w:szCs w:val="20"/>
        </w:rPr>
      </w:pPr>
    </w:p>
    <w:p w:rsidR="00210DDA" w:rsidRDefault="00F71AB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IT Services Management</w:t>
      </w:r>
    </w:p>
    <w:p w:rsidR="00210DDA" w:rsidRDefault="00210DDA">
      <w:pPr>
        <w:spacing w:line="220" w:lineRule="exact"/>
        <w:rPr>
          <w:sz w:val="20"/>
          <w:szCs w:val="20"/>
        </w:rPr>
      </w:pPr>
    </w:p>
    <w:p w:rsidR="00210DDA" w:rsidRDefault="00F71AB6">
      <w:pPr>
        <w:spacing w:line="277" w:lineRule="auto"/>
        <w:ind w:left="660" w:right="4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Own operations management including P&amp;L management Budget planning, tracking, control and reporting</w:t>
      </w:r>
    </w:p>
    <w:p w:rsidR="00210DDA" w:rsidRDefault="00F71AB6">
      <w:pPr>
        <w:spacing w:line="22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Ensure effective deployment of resources to maximize productivity and predictability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9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Ensure </w:t>
      </w:r>
      <w:r>
        <w:rPr>
          <w:rFonts w:ascii="Arial" w:eastAsia="Arial" w:hAnsi="Arial" w:cs="Arial"/>
          <w:b/>
          <w:bCs/>
          <w:sz w:val="18"/>
          <w:szCs w:val="18"/>
        </w:rPr>
        <w:t>adherence to the ITIL standards for IT Service Management, in terms of, Service Support and Service Delivery processes and tools as defined by the client organization.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8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Ensure effective management of operational escalations, in a 24 X 7 support </w:t>
      </w:r>
      <w:r>
        <w:rPr>
          <w:rFonts w:ascii="Arial" w:eastAsia="Arial" w:hAnsi="Arial" w:cs="Arial"/>
          <w:b/>
          <w:bCs/>
          <w:sz w:val="18"/>
          <w:szCs w:val="18"/>
        </w:rPr>
        <w:t>environment; root cause identification, definition and timely solution implementation</w:t>
      </w:r>
    </w:p>
    <w:p w:rsidR="00210DDA" w:rsidRDefault="00210DDA">
      <w:pPr>
        <w:spacing w:line="18" w:lineRule="exact"/>
        <w:rPr>
          <w:sz w:val="20"/>
          <w:szCs w:val="20"/>
        </w:rPr>
      </w:pPr>
    </w:p>
    <w:p w:rsidR="00210DDA" w:rsidRDefault="00F71AB6">
      <w:pPr>
        <w:spacing w:line="230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Ensure SLA compliance and perform SLA tracking and reporting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2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Mentor, manage and lead the teams as part of Service Improvement Projects (SIP)</w:t>
      </w:r>
    </w:p>
    <w:p w:rsidR="00210DDA" w:rsidRDefault="00210DDA">
      <w:pPr>
        <w:spacing w:line="17" w:lineRule="exact"/>
        <w:rPr>
          <w:sz w:val="20"/>
          <w:szCs w:val="20"/>
        </w:rPr>
      </w:pPr>
    </w:p>
    <w:p w:rsidR="00210DDA" w:rsidRDefault="00F71AB6">
      <w:pPr>
        <w:spacing w:line="231" w:lineRule="auto"/>
        <w:ind w:left="66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Drive continuous improveme</w:t>
      </w:r>
      <w:r>
        <w:rPr>
          <w:rFonts w:ascii="Arial" w:eastAsia="Arial" w:hAnsi="Arial" w:cs="Arial"/>
          <w:b/>
          <w:bCs/>
          <w:sz w:val="18"/>
          <w:szCs w:val="18"/>
        </w:rPr>
        <w:t>nt in operations leading to cost efficiency and/or improved customer experience</w:t>
      </w:r>
    </w:p>
    <w:p w:rsidR="00210DDA" w:rsidRDefault="00210DDA">
      <w:pPr>
        <w:spacing w:line="242" w:lineRule="exact"/>
        <w:rPr>
          <w:sz w:val="20"/>
          <w:szCs w:val="20"/>
        </w:rPr>
      </w:pPr>
    </w:p>
    <w:p w:rsidR="00210DDA" w:rsidRDefault="00F71AB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Pre-Sales / Vendor Management</w:t>
      </w:r>
    </w:p>
    <w:p w:rsidR="00210DDA" w:rsidRDefault="00210DDA">
      <w:pPr>
        <w:spacing w:line="227" w:lineRule="exact"/>
        <w:rPr>
          <w:sz w:val="20"/>
          <w:szCs w:val="20"/>
        </w:rPr>
      </w:pPr>
    </w:p>
    <w:p w:rsidR="00210DDA" w:rsidRDefault="00F71AB6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Address RFPs and RFIs from existing clients and new prospects</w:t>
      </w:r>
    </w:p>
    <w:p w:rsidR="00210DDA" w:rsidRDefault="00210DDA">
      <w:pPr>
        <w:spacing w:line="19" w:lineRule="exact"/>
        <w:rPr>
          <w:sz w:val="20"/>
          <w:szCs w:val="20"/>
        </w:rPr>
      </w:pPr>
    </w:p>
    <w:p w:rsidR="00210DDA" w:rsidRDefault="00F71AB6">
      <w:pPr>
        <w:spacing w:line="278" w:lineRule="auto"/>
        <w:ind w:left="660" w:right="3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Proven experience in Cross-selling, Up-selling solutions to existing customers </w:t>
      </w:r>
      <w:r>
        <w:rPr>
          <w:rFonts w:ascii="Arial" w:eastAsia="Arial" w:hAnsi="Arial" w:cs="Arial"/>
          <w:b/>
          <w:bCs/>
          <w:sz w:val="16"/>
          <w:szCs w:val="16"/>
        </w:rPr>
        <w:t>Drive solutioning, estimation and POCs to secure new business opportunities Vendor selection and Contracts Negotiation &amp; Management</w:t>
      </w:r>
    </w:p>
    <w:p w:rsidR="00210DDA" w:rsidRDefault="00210DDA">
      <w:pPr>
        <w:spacing w:line="1" w:lineRule="exact"/>
        <w:rPr>
          <w:sz w:val="20"/>
          <w:szCs w:val="20"/>
        </w:rPr>
      </w:pPr>
    </w:p>
    <w:p w:rsidR="00210DDA" w:rsidRDefault="00F71AB6">
      <w:pPr>
        <w:spacing w:line="22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Proven experience in managing Off-shore vendors based in India, China &amp; Philippines</w:t>
      </w: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00" w:lineRule="exact"/>
        <w:rPr>
          <w:sz w:val="20"/>
          <w:szCs w:val="20"/>
        </w:rPr>
      </w:pPr>
    </w:p>
    <w:p w:rsidR="00210DDA" w:rsidRDefault="00210DDA">
      <w:pPr>
        <w:spacing w:line="267" w:lineRule="exact"/>
        <w:rPr>
          <w:sz w:val="20"/>
          <w:szCs w:val="20"/>
        </w:rPr>
      </w:pPr>
    </w:p>
    <w:sectPr w:rsidR="00210DDA" w:rsidSect="00210DDA">
      <w:pgSz w:w="11900" w:h="16838"/>
      <w:pgMar w:top="1440" w:right="586" w:bottom="870" w:left="1440" w:header="0" w:footer="0" w:gutter="0"/>
      <w:cols w:space="720" w:equalWidth="0">
        <w:col w:w="9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B6" w:rsidRDefault="00F71AB6" w:rsidP="00B52C6C">
      <w:r>
        <w:separator/>
      </w:r>
    </w:p>
  </w:endnote>
  <w:endnote w:type="continuationSeparator" w:id="0">
    <w:p w:rsidR="00F71AB6" w:rsidRDefault="00F71AB6" w:rsidP="00B5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B6" w:rsidRDefault="00F71AB6" w:rsidP="00B52C6C">
      <w:r>
        <w:separator/>
      </w:r>
    </w:p>
  </w:footnote>
  <w:footnote w:type="continuationSeparator" w:id="0">
    <w:p w:rsidR="00F71AB6" w:rsidRDefault="00F71AB6" w:rsidP="00B52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8A6632"/>
    <w:lvl w:ilvl="0" w:tplc="20886B20">
      <w:start w:val="1"/>
      <w:numFmt w:val="bullet"/>
      <w:lvlText w:val=" "/>
      <w:lvlJc w:val="left"/>
    </w:lvl>
    <w:lvl w:ilvl="1" w:tplc="3482F18A">
      <w:numFmt w:val="decimal"/>
      <w:lvlText w:val=""/>
      <w:lvlJc w:val="left"/>
    </w:lvl>
    <w:lvl w:ilvl="2" w:tplc="CE6A5F4C">
      <w:numFmt w:val="decimal"/>
      <w:lvlText w:val=""/>
      <w:lvlJc w:val="left"/>
    </w:lvl>
    <w:lvl w:ilvl="3" w:tplc="738C6396">
      <w:numFmt w:val="decimal"/>
      <w:lvlText w:val=""/>
      <w:lvlJc w:val="left"/>
    </w:lvl>
    <w:lvl w:ilvl="4" w:tplc="EB023136">
      <w:numFmt w:val="decimal"/>
      <w:lvlText w:val=""/>
      <w:lvlJc w:val="left"/>
    </w:lvl>
    <w:lvl w:ilvl="5" w:tplc="6E38D534">
      <w:numFmt w:val="decimal"/>
      <w:lvlText w:val=""/>
      <w:lvlJc w:val="left"/>
    </w:lvl>
    <w:lvl w:ilvl="6" w:tplc="B888D3B6">
      <w:numFmt w:val="decimal"/>
      <w:lvlText w:val=""/>
      <w:lvlJc w:val="left"/>
    </w:lvl>
    <w:lvl w:ilvl="7" w:tplc="AA2003F2">
      <w:numFmt w:val="decimal"/>
      <w:lvlText w:val=""/>
      <w:lvlJc w:val="left"/>
    </w:lvl>
    <w:lvl w:ilvl="8" w:tplc="C5421508">
      <w:numFmt w:val="decimal"/>
      <w:lvlText w:val=""/>
      <w:lvlJc w:val="left"/>
    </w:lvl>
  </w:abstractNum>
  <w:abstractNum w:abstractNumId="1">
    <w:nsid w:val="000041BB"/>
    <w:multiLevelType w:val="hybridMultilevel"/>
    <w:tmpl w:val="80C233A8"/>
    <w:lvl w:ilvl="0" w:tplc="2988A838">
      <w:start w:val="1"/>
      <w:numFmt w:val="bullet"/>
      <w:lvlText w:val=" "/>
      <w:lvlJc w:val="left"/>
    </w:lvl>
    <w:lvl w:ilvl="1" w:tplc="FCC6CED8">
      <w:numFmt w:val="decimal"/>
      <w:lvlText w:val=""/>
      <w:lvlJc w:val="left"/>
    </w:lvl>
    <w:lvl w:ilvl="2" w:tplc="C8B43E02">
      <w:numFmt w:val="decimal"/>
      <w:lvlText w:val=""/>
      <w:lvlJc w:val="left"/>
    </w:lvl>
    <w:lvl w:ilvl="3" w:tplc="1F02FDB2">
      <w:numFmt w:val="decimal"/>
      <w:lvlText w:val=""/>
      <w:lvlJc w:val="left"/>
    </w:lvl>
    <w:lvl w:ilvl="4" w:tplc="3F40C72A">
      <w:numFmt w:val="decimal"/>
      <w:lvlText w:val=""/>
      <w:lvlJc w:val="left"/>
    </w:lvl>
    <w:lvl w:ilvl="5" w:tplc="3A9CE07E">
      <w:numFmt w:val="decimal"/>
      <w:lvlText w:val=""/>
      <w:lvlJc w:val="left"/>
    </w:lvl>
    <w:lvl w:ilvl="6" w:tplc="D6E21950">
      <w:numFmt w:val="decimal"/>
      <w:lvlText w:val=""/>
      <w:lvlJc w:val="left"/>
    </w:lvl>
    <w:lvl w:ilvl="7" w:tplc="996AE922">
      <w:numFmt w:val="decimal"/>
      <w:lvlText w:val=""/>
      <w:lvlJc w:val="left"/>
    </w:lvl>
    <w:lvl w:ilvl="8" w:tplc="60948ACE">
      <w:numFmt w:val="decimal"/>
      <w:lvlText w:val=""/>
      <w:lvlJc w:val="left"/>
    </w:lvl>
  </w:abstractNum>
  <w:abstractNum w:abstractNumId="2">
    <w:nsid w:val="00005AF1"/>
    <w:multiLevelType w:val="hybridMultilevel"/>
    <w:tmpl w:val="E4D67536"/>
    <w:lvl w:ilvl="0" w:tplc="F698EF66">
      <w:start w:val="1"/>
      <w:numFmt w:val="bullet"/>
      <w:lvlText w:val=" "/>
      <w:lvlJc w:val="left"/>
    </w:lvl>
    <w:lvl w:ilvl="1" w:tplc="DC5C675C">
      <w:numFmt w:val="decimal"/>
      <w:lvlText w:val=""/>
      <w:lvlJc w:val="left"/>
    </w:lvl>
    <w:lvl w:ilvl="2" w:tplc="8E98E3DC">
      <w:numFmt w:val="decimal"/>
      <w:lvlText w:val=""/>
      <w:lvlJc w:val="left"/>
    </w:lvl>
    <w:lvl w:ilvl="3" w:tplc="0EF29556">
      <w:numFmt w:val="decimal"/>
      <w:lvlText w:val=""/>
      <w:lvlJc w:val="left"/>
    </w:lvl>
    <w:lvl w:ilvl="4" w:tplc="6FF6A04C">
      <w:numFmt w:val="decimal"/>
      <w:lvlText w:val=""/>
      <w:lvlJc w:val="left"/>
    </w:lvl>
    <w:lvl w:ilvl="5" w:tplc="1452D79E">
      <w:numFmt w:val="decimal"/>
      <w:lvlText w:val=""/>
      <w:lvlJc w:val="left"/>
    </w:lvl>
    <w:lvl w:ilvl="6" w:tplc="5A9694B2">
      <w:numFmt w:val="decimal"/>
      <w:lvlText w:val=""/>
      <w:lvlJc w:val="left"/>
    </w:lvl>
    <w:lvl w:ilvl="7" w:tplc="F79EEA24">
      <w:numFmt w:val="decimal"/>
      <w:lvlText w:val=""/>
      <w:lvlJc w:val="left"/>
    </w:lvl>
    <w:lvl w:ilvl="8" w:tplc="FA0E7C42">
      <w:numFmt w:val="decimal"/>
      <w:lvlText w:val=""/>
      <w:lvlJc w:val="left"/>
    </w:lvl>
  </w:abstractNum>
  <w:abstractNum w:abstractNumId="3">
    <w:nsid w:val="00005F90"/>
    <w:multiLevelType w:val="hybridMultilevel"/>
    <w:tmpl w:val="EC4E311C"/>
    <w:lvl w:ilvl="0" w:tplc="7102B788">
      <w:start w:val="1"/>
      <w:numFmt w:val="bullet"/>
      <w:lvlText w:val=" "/>
      <w:lvlJc w:val="left"/>
    </w:lvl>
    <w:lvl w:ilvl="1" w:tplc="732019C0">
      <w:numFmt w:val="decimal"/>
      <w:lvlText w:val=""/>
      <w:lvlJc w:val="left"/>
    </w:lvl>
    <w:lvl w:ilvl="2" w:tplc="432EC2FE">
      <w:numFmt w:val="decimal"/>
      <w:lvlText w:val=""/>
      <w:lvlJc w:val="left"/>
    </w:lvl>
    <w:lvl w:ilvl="3" w:tplc="07524A24">
      <w:numFmt w:val="decimal"/>
      <w:lvlText w:val=""/>
      <w:lvlJc w:val="left"/>
    </w:lvl>
    <w:lvl w:ilvl="4" w:tplc="D76E30C0">
      <w:numFmt w:val="decimal"/>
      <w:lvlText w:val=""/>
      <w:lvlJc w:val="left"/>
    </w:lvl>
    <w:lvl w:ilvl="5" w:tplc="C5CA5A58">
      <w:numFmt w:val="decimal"/>
      <w:lvlText w:val=""/>
      <w:lvlJc w:val="left"/>
    </w:lvl>
    <w:lvl w:ilvl="6" w:tplc="7460016A">
      <w:numFmt w:val="decimal"/>
      <w:lvlText w:val=""/>
      <w:lvlJc w:val="left"/>
    </w:lvl>
    <w:lvl w:ilvl="7" w:tplc="841471BC">
      <w:numFmt w:val="decimal"/>
      <w:lvlText w:val=""/>
      <w:lvlJc w:val="left"/>
    </w:lvl>
    <w:lvl w:ilvl="8" w:tplc="B7A00C22">
      <w:numFmt w:val="decimal"/>
      <w:lvlText w:val=""/>
      <w:lvlJc w:val="left"/>
    </w:lvl>
  </w:abstractNum>
  <w:abstractNum w:abstractNumId="4">
    <w:nsid w:val="00006952"/>
    <w:multiLevelType w:val="hybridMultilevel"/>
    <w:tmpl w:val="4198C32E"/>
    <w:lvl w:ilvl="0" w:tplc="32BA7524">
      <w:start w:val="1"/>
      <w:numFmt w:val="bullet"/>
      <w:lvlText w:val=" "/>
      <w:lvlJc w:val="left"/>
    </w:lvl>
    <w:lvl w:ilvl="1" w:tplc="7B4C9648">
      <w:numFmt w:val="decimal"/>
      <w:lvlText w:val=""/>
      <w:lvlJc w:val="left"/>
    </w:lvl>
    <w:lvl w:ilvl="2" w:tplc="B7C8EFAA">
      <w:numFmt w:val="decimal"/>
      <w:lvlText w:val=""/>
      <w:lvlJc w:val="left"/>
    </w:lvl>
    <w:lvl w:ilvl="3" w:tplc="DBFA944A">
      <w:numFmt w:val="decimal"/>
      <w:lvlText w:val=""/>
      <w:lvlJc w:val="left"/>
    </w:lvl>
    <w:lvl w:ilvl="4" w:tplc="89888FC6">
      <w:numFmt w:val="decimal"/>
      <w:lvlText w:val=""/>
      <w:lvlJc w:val="left"/>
    </w:lvl>
    <w:lvl w:ilvl="5" w:tplc="3CBC7542">
      <w:numFmt w:val="decimal"/>
      <w:lvlText w:val=""/>
      <w:lvlJc w:val="left"/>
    </w:lvl>
    <w:lvl w:ilvl="6" w:tplc="E0A6F49E">
      <w:numFmt w:val="decimal"/>
      <w:lvlText w:val=""/>
      <w:lvlJc w:val="left"/>
    </w:lvl>
    <w:lvl w:ilvl="7" w:tplc="EA1A6F52">
      <w:numFmt w:val="decimal"/>
      <w:lvlText w:val=""/>
      <w:lvlJc w:val="left"/>
    </w:lvl>
    <w:lvl w:ilvl="8" w:tplc="1E96B69C">
      <w:numFmt w:val="decimal"/>
      <w:lvlText w:val=""/>
      <w:lvlJc w:val="left"/>
    </w:lvl>
  </w:abstractNum>
  <w:abstractNum w:abstractNumId="5">
    <w:nsid w:val="00006DF1"/>
    <w:multiLevelType w:val="hybridMultilevel"/>
    <w:tmpl w:val="1D1640CC"/>
    <w:lvl w:ilvl="0" w:tplc="3A04F4C6">
      <w:start w:val="1"/>
      <w:numFmt w:val="bullet"/>
      <w:lvlText w:val=" "/>
      <w:lvlJc w:val="left"/>
    </w:lvl>
    <w:lvl w:ilvl="1" w:tplc="12D4AB3E">
      <w:numFmt w:val="decimal"/>
      <w:lvlText w:val=""/>
      <w:lvlJc w:val="left"/>
    </w:lvl>
    <w:lvl w:ilvl="2" w:tplc="122C8C2A">
      <w:numFmt w:val="decimal"/>
      <w:lvlText w:val=""/>
      <w:lvlJc w:val="left"/>
    </w:lvl>
    <w:lvl w:ilvl="3" w:tplc="ABD495D8">
      <w:numFmt w:val="decimal"/>
      <w:lvlText w:val=""/>
      <w:lvlJc w:val="left"/>
    </w:lvl>
    <w:lvl w:ilvl="4" w:tplc="F384C236">
      <w:numFmt w:val="decimal"/>
      <w:lvlText w:val=""/>
      <w:lvlJc w:val="left"/>
    </w:lvl>
    <w:lvl w:ilvl="5" w:tplc="14DC800C">
      <w:numFmt w:val="decimal"/>
      <w:lvlText w:val=""/>
      <w:lvlJc w:val="left"/>
    </w:lvl>
    <w:lvl w:ilvl="6" w:tplc="D48226E8">
      <w:numFmt w:val="decimal"/>
      <w:lvlText w:val=""/>
      <w:lvlJc w:val="left"/>
    </w:lvl>
    <w:lvl w:ilvl="7" w:tplc="FAA07C06">
      <w:numFmt w:val="decimal"/>
      <w:lvlText w:val=""/>
      <w:lvlJc w:val="left"/>
    </w:lvl>
    <w:lvl w:ilvl="8" w:tplc="61985B6E">
      <w:numFmt w:val="decimal"/>
      <w:lvlText w:val=""/>
      <w:lvlJc w:val="left"/>
    </w:lvl>
  </w:abstractNum>
  <w:abstractNum w:abstractNumId="6">
    <w:nsid w:val="000072AE"/>
    <w:multiLevelType w:val="hybridMultilevel"/>
    <w:tmpl w:val="F88A8464"/>
    <w:lvl w:ilvl="0" w:tplc="73560F40">
      <w:start w:val="1"/>
      <w:numFmt w:val="bullet"/>
      <w:lvlText w:val=" "/>
      <w:lvlJc w:val="left"/>
    </w:lvl>
    <w:lvl w:ilvl="1" w:tplc="5BF2E83A">
      <w:numFmt w:val="decimal"/>
      <w:lvlText w:val=""/>
      <w:lvlJc w:val="left"/>
    </w:lvl>
    <w:lvl w:ilvl="2" w:tplc="A2AAE4C0">
      <w:numFmt w:val="decimal"/>
      <w:lvlText w:val=""/>
      <w:lvlJc w:val="left"/>
    </w:lvl>
    <w:lvl w:ilvl="3" w:tplc="2A5A35D0">
      <w:numFmt w:val="decimal"/>
      <w:lvlText w:val=""/>
      <w:lvlJc w:val="left"/>
    </w:lvl>
    <w:lvl w:ilvl="4" w:tplc="BD36591C">
      <w:numFmt w:val="decimal"/>
      <w:lvlText w:val=""/>
      <w:lvlJc w:val="left"/>
    </w:lvl>
    <w:lvl w:ilvl="5" w:tplc="111478D0">
      <w:numFmt w:val="decimal"/>
      <w:lvlText w:val=""/>
      <w:lvlJc w:val="left"/>
    </w:lvl>
    <w:lvl w:ilvl="6" w:tplc="31C01AAC">
      <w:numFmt w:val="decimal"/>
      <w:lvlText w:val=""/>
      <w:lvlJc w:val="left"/>
    </w:lvl>
    <w:lvl w:ilvl="7" w:tplc="B986BF4E">
      <w:numFmt w:val="decimal"/>
      <w:lvlText w:val=""/>
      <w:lvlJc w:val="left"/>
    </w:lvl>
    <w:lvl w:ilvl="8" w:tplc="AE10343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DDA"/>
    <w:rsid w:val="00210DDA"/>
    <w:rsid w:val="00B52C6C"/>
    <w:rsid w:val="00F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6C"/>
  </w:style>
  <w:style w:type="paragraph" w:styleId="Footer">
    <w:name w:val="footer"/>
    <w:basedOn w:val="Normal"/>
    <w:link w:val="FooterChar"/>
    <w:uiPriority w:val="99"/>
    <w:semiHidden/>
    <w:unhideWhenUsed/>
    <w:rsid w:val="00B5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thil.3880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2019-02-11T20:15:00Z</dcterms:created>
  <dcterms:modified xsi:type="dcterms:W3CDTF">2019-02-14T12:42:00Z</dcterms:modified>
</cp:coreProperties>
</file>