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9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3320"/>
        <w:gridCol w:w="5360"/>
      </w:tblGrid>
      <w:tr w:rsidR="002B3B14" w:rsidTr="002B3B14">
        <w:trPr>
          <w:trHeight w:val="261"/>
        </w:trPr>
        <w:tc>
          <w:tcPr>
            <w:tcW w:w="4600" w:type="dxa"/>
            <w:gridSpan w:val="2"/>
            <w:vAlign w:val="bottom"/>
          </w:tcPr>
          <w:p w:rsidR="002B3B14" w:rsidRDefault="002B3B14" w:rsidP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</w:rPr>
              <w:t>MALE</w:t>
            </w:r>
          </w:p>
        </w:tc>
        <w:tc>
          <w:tcPr>
            <w:tcW w:w="5360" w:type="dxa"/>
            <w:vAlign w:val="bottom"/>
          </w:tcPr>
          <w:p w:rsidR="002B3B14" w:rsidRDefault="002B3B14" w:rsidP="002B3B14">
            <w:pPr>
              <w:ind w:left="1880"/>
              <w:rPr>
                <w:sz w:val="20"/>
                <w:szCs w:val="20"/>
              </w:rPr>
            </w:pPr>
          </w:p>
        </w:tc>
      </w:tr>
      <w:tr w:rsidR="002B3B14" w:rsidTr="002B3B14">
        <w:trPr>
          <w:trHeight w:val="243"/>
        </w:trPr>
        <w:tc>
          <w:tcPr>
            <w:tcW w:w="4600" w:type="dxa"/>
            <w:gridSpan w:val="2"/>
            <w:vAlign w:val="bottom"/>
          </w:tcPr>
          <w:p w:rsidR="002B3B14" w:rsidRDefault="002B3B14" w:rsidP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w w:val="99"/>
                <w:sz w:val="20"/>
                <w:szCs w:val="20"/>
              </w:rPr>
              <w:t xml:space="preserve">Email ID: - </w:t>
            </w:r>
            <w:hyperlink r:id="rId5" w:history="1">
              <w:r w:rsidRPr="008662DE">
                <w:rPr>
                  <w:rStyle w:val="Hyperlink"/>
                  <w:rFonts w:ascii="DejaVu Serif" w:eastAsia="DejaVu Serif" w:hAnsi="DejaVu Serif" w:cs="DejaVu Serif"/>
                  <w:b/>
                  <w:bCs/>
                  <w:w w:val="99"/>
                  <w:sz w:val="20"/>
                  <w:szCs w:val="20"/>
                </w:rPr>
                <w:t>manish-392960@2freemail.com</w:t>
              </w:r>
            </w:hyperlink>
            <w:r>
              <w:rPr>
                <w:rFonts w:ascii="DejaVu Serif" w:eastAsia="DejaVu Serif" w:hAnsi="DejaVu Serif" w:cs="DejaVu Serif"/>
                <w:b/>
                <w:bCs/>
                <w:color w:val="0000FF"/>
                <w:w w:val="99"/>
                <w:sz w:val="20"/>
                <w:szCs w:val="20"/>
              </w:rPr>
              <w:t xml:space="preserve"> </w:t>
            </w:r>
          </w:p>
        </w:tc>
        <w:tc>
          <w:tcPr>
            <w:tcW w:w="5360" w:type="dxa"/>
            <w:vAlign w:val="bottom"/>
          </w:tcPr>
          <w:p w:rsidR="002B3B14" w:rsidRDefault="002B3B14" w:rsidP="002B3B14">
            <w:pPr>
              <w:ind w:left="1880"/>
              <w:rPr>
                <w:sz w:val="20"/>
                <w:szCs w:val="20"/>
              </w:rPr>
            </w:pPr>
          </w:p>
        </w:tc>
      </w:tr>
      <w:tr w:rsidR="002B3B14" w:rsidTr="002B3B14">
        <w:trPr>
          <w:trHeight w:val="20"/>
        </w:trPr>
        <w:tc>
          <w:tcPr>
            <w:tcW w:w="1280" w:type="dxa"/>
            <w:vAlign w:val="bottom"/>
          </w:tcPr>
          <w:p w:rsidR="002B3B14" w:rsidRDefault="002B3B14" w:rsidP="002B3B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20" w:type="dxa"/>
            <w:shd w:val="clear" w:color="auto" w:fill="0000FF"/>
            <w:vAlign w:val="bottom"/>
          </w:tcPr>
          <w:p w:rsidR="002B3B14" w:rsidRDefault="002B3B14" w:rsidP="002B3B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360" w:type="dxa"/>
            <w:vAlign w:val="bottom"/>
          </w:tcPr>
          <w:p w:rsidR="002B3B14" w:rsidRDefault="002B3B14" w:rsidP="002B3B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</w:rPr>
        <w:t xml:space="preserve">MANISH 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</w:rPr>
        <w:t>INDIAN, 33</w:t>
      </w:r>
    </w:p>
    <w:p w:rsidR="00281883" w:rsidRDefault="00281883">
      <w:pPr>
        <w:spacing w:line="237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OBJECTIVE:-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spacing w:line="299" w:lineRule="auto"/>
        <w:ind w:right="34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An opportunity to significantly contribute to an engineering organization, enhance competence and make a career.</w:t>
      </w:r>
    </w:p>
    <w:p w:rsidR="00281883" w:rsidRDefault="00281883">
      <w:pPr>
        <w:spacing w:line="115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 xml:space="preserve">CORE </w:t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COMPETENCY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Skilled in business development, tender costing, and proposal preparation.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Sound knowledge of preparation of estimation based on client's requirement.</w:t>
      </w:r>
    </w:p>
    <w:p w:rsidR="00281883" w:rsidRDefault="002B3B14">
      <w:pPr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Rich experience in preparation of Pre-qualification application, Generation of enquiries, Pr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eparation of estimates &amp; proposals.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Excellent communication skill.</w:t>
      </w:r>
    </w:p>
    <w:p w:rsidR="00281883" w:rsidRDefault="00281883">
      <w:pPr>
        <w:spacing w:line="228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AREA OF INTEREST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Tendering / Estimation and Engineering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Business Development</w:t>
      </w:r>
    </w:p>
    <w:p w:rsidR="00281883" w:rsidRDefault="00281883">
      <w:pPr>
        <w:spacing w:line="228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PROFESSIONAL EXPERIENCE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81883">
      <w:pPr>
        <w:spacing w:line="215" w:lineRule="exact"/>
        <w:rPr>
          <w:sz w:val="24"/>
          <w:szCs w:val="24"/>
        </w:rPr>
      </w:pPr>
    </w:p>
    <w:p w:rsidR="00281883" w:rsidRDefault="002B3B14">
      <w:pPr>
        <w:tabs>
          <w:tab w:val="left" w:pos="7380"/>
        </w:tabs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ABU DHABI, UAE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MAR, 2017 to Till Date</w:t>
      </w:r>
    </w:p>
    <w:p w:rsidR="00281883" w:rsidRDefault="00281883">
      <w:pPr>
        <w:spacing w:line="6" w:lineRule="exact"/>
        <w:rPr>
          <w:sz w:val="24"/>
          <w:szCs w:val="24"/>
        </w:rPr>
      </w:pPr>
    </w:p>
    <w:p w:rsidR="00281883" w:rsidRDefault="002B3B14">
      <w:pPr>
        <w:spacing w:line="269" w:lineRule="auto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A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Construction company with UAE office in Abu Dhabi which executes integrated multi-disciplinary construction projects </w:t>
      </w:r>
      <w:proofErr w:type="gramStart"/>
      <w:r>
        <w:rPr>
          <w:rFonts w:ascii="DejaVu Serif" w:eastAsia="DejaVu Serif" w:hAnsi="DejaVu Serif" w:cs="DejaVu Serif"/>
          <w:color w:val="00000A"/>
          <w:sz w:val="20"/>
          <w:szCs w:val="20"/>
        </w:rPr>
        <w:t>under</w:t>
      </w:r>
      <w:proofErr w:type="gramEnd"/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one umbrella, involving Civil, Mechanical, Electrical, Instrumentation, etc.</w:t>
      </w:r>
    </w:p>
    <w:p w:rsidR="00281883" w:rsidRDefault="00281883">
      <w:pPr>
        <w:spacing w:line="14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8340"/>
      </w:tblGrid>
      <w:tr w:rsidR="00281883">
        <w:trPr>
          <w:trHeight w:val="41"/>
        </w:trPr>
        <w:tc>
          <w:tcPr>
            <w:tcW w:w="212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  <w:tc>
          <w:tcPr>
            <w:tcW w:w="834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</w:tr>
      <w:tr w:rsidR="00281883">
        <w:trPr>
          <w:trHeight w:val="234"/>
        </w:trPr>
        <w:tc>
          <w:tcPr>
            <w:tcW w:w="2120" w:type="dxa"/>
            <w:shd w:val="clear" w:color="auto" w:fill="BFBFBF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Role</w:t>
            </w:r>
          </w:p>
        </w:tc>
        <w:tc>
          <w:tcPr>
            <w:tcW w:w="8340" w:type="dxa"/>
            <w:shd w:val="clear" w:color="auto" w:fill="BFBFBF"/>
            <w:vAlign w:val="bottom"/>
          </w:tcPr>
          <w:p w:rsidR="00281883" w:rsidRDefault="002B3B14">
            <w:pPr>
              <w:ind w:left="292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 xml:space="preserve">Senior Engineer – </w:t>
            </w: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Proposal (E&amp;I Projects)</w:t>
            </w:r>
          </w:p>
        </w:tc>
      </w:tr>
      <w:tr w:rsidR="00281883">
        <w:trPr>
          <w:trHeight w:val="198"/>
        </w:trPr>
        <w:tc>
          <w:tcPr>
            <w:tcW w:w="2120" w:type="dxa"/>
            <w:vAlign w:val="bottom"/>
          </w:tcPr>
          <w:p w:rsidR="00281883" w:rsidRDefault="002B3B14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Working as a Senior</w:t>
            </w:r>
          </w:p>
        </w:tc>
        <w:tc>
          <w:tcPr>
            <w:tcW w:w="8340" w:type="dxa"/>
            <w:vAlign w:val="bottom"/>
          </w:tcPr>
          <w:p w:rsidR="00281883" w:rsidRDefault="002B3B14">
            <w:pPr>
              <w:spacing w:line="198" w:lineRule="exact"/>
              <w:ind w:left="6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Proposal Engineer – E&amp;I Projects</w:t>
            </w:r>
          </w:p>
        </w:tc>
      </w:tr>
    </w:tbl>
    <w:p w:rsidR="00281883" w:rsidRDefault="002B3B14">
      <w:pPr>
        <w:spacing w:line="237" w:lineRule="auto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Working on Proposals &amp; Tendering for Construction Projects in Oil &amp; Gas (including ADCO Projects) and Non Oil Sector</w:t>
      </w:r>
    </w:p>
    <w:p w:rsidR="00281883" w:rsidRDefault="00281883">
      <w:pPr>
        <w:spacing w:line="1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Responsibilities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81883">
      <w:pPr>
        <w:spacing w:line="217" w:lineRule="exact"/>
        <w:rPr>
          <w:sz w:val="24"/>
          <w:szCs w:val="24"/>
        </w:rPr>
      </w:pPr>
    </w:p>
    <w:p w:rsidR="00281883" w:rsidRDefault="002B3B14">
      <w:pPr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Manage proposal development from RFP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receipt to contract award.</w:t>
      </w:r>
    </w:p>
    <w:p w:rsidR="00281883" w:rsidRDefault="002B3B14">
      <w:pPr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RFQ Review and analysis, including technical and commercial requirements.</w:t>
      </w:r>
    </w:p>
    <w:p w:rsidR="00281883" w:rsidRDefault="00281883">
      <w:pPr>
        <w:spacing w:line="1" w:lineRule="exact"/>
        <w:rPr>
          <w:sz w:val="24"/>
          <w:szCs w:val="24"/>
        </w:rPr>
      </w:pPr>
    </w:p>
    <w:p w:rsidR="00281883" w:rsidRDefault="002B3B14">
      <w:pPr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Coordinate input from other departments to develop bids responsive to customer requirements.</w:t>
      </w:r>
    </w:p>
    <w:p w:rsidR="00281883" w:rsidRDefault="002B3B14">
      <w:pPr>
        <w:ind w:left="28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Establish a network of employees, consultants, and vendors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who can provide support for peak capacity periods.</w:t>
      </w:r>
    </w:p>
    <w:p w:rsidR="00281883" w:rsidRDefault="002B3B14">
      <w:pPr>
        <w:ind w:left="28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Prepare and analyze proposal in the light of Bill of Quantities, scope of work, construction schedule provided by client to ensure a winning proposal.</w:t>
      </w:r>
    </w:p>
    <w:p w:rsidR="00281883" w:rsidRDefault="002B3B14">
      <w:pPr>
        <w:ind w:left="280" w:right="700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Cost estimation of the project. Schedule and report on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the status of proposals in the pipeline. Develop and operate the company’s proposal knowledgebase and archival storage.</w:t>
      </w:r>
    </w:p>
    <w:p w:rsidR="00281883" w:rsidRDefault="002B3B14">
      <w:pPr>
        <w:ind w:left="280" w:right="2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Ensure the proposals are of high quality and are prepared in a timely manner to comply with internal review requirements and customer r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equirements.</w:t>
      </w:r>
    </w:p>
    <w:p w:rsidR="00281883" w:rsidRDefault="002B3B14">
      <w:pPr>
        <w:ind w:left="280" w:right="2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Enhance, develop, monitor and improve proposal processes and tools to improve quality, delivery time, and accuracy of proposals.</w:t>
      </w:r>
    </w:p>
    <w:p w:rsidR="00281883" w:rsidRDefault="002B3B14">
      <w:pPr>
        <w:spacing w:line="299" w:lineRule="auto"/>
        <w:ind w:left="28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Keeps up-to-date with technical developments, both internal and external, as well as industry developments</w:t>
      </w:r>
    </w:p>
    <w:p w:rsidR="00281883" w:rsidRDefault="00281883">
      <w:pPr>
        <w:spacing w:line="115" w:lineRule="exact"/>
        <w:rPr>
          <w:sz w:val="24"/>
          <w:szCs w:val="24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List o</w:t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f worked proposal</w:t>
      </w:r>
    </w:p>
    <w:p w:rsidR="00281883" w:rsidRDefault="002B3B1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independently on price estimation of Projects. Few among them are listed below:-</w:t>
      </w:r>
    </w:p>
    <w:p w:rsidR="00281883" w:rsidRDefault="002B3B14">
      <w:pPr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Tie-in works at South East - Packages C&amp;D.</w:t>
      </w:r>
    </w:p>
    <w:p w:rsidR="00281883" w:rsidRDefault="002B3B14">
      <w:pPr>
        <w:ind w:left="280" w:right="20" w:hanging="2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Buhasa Wellhead Remote Monitoring &amp; Control Implementation And Construction Of Oil Network Over Pressure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Protection for CDS/RDS and wellheads.</w:t>
      </w:r>
    </w:p>
    <w:p w:rsidR="00281883" w:rsidRDefault="002B3B14">
      <w:pPr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Call Out Works Contract for ASR Gas Tie-Ins in BAB and ASAB</w:t>
      </w:r>
    </w:p>
    <w:p w:rsidR="00281883" w:rsidRDefault="00281883">
      <w:pPr>
        <w:spacing w:line="1" w:lineRule="exact"/>
        <w:rPr>
          <w:sz w:val="24"/>
          <w:szCs w:val="24"/>
        </w:rPr>
      </w:pPr>
    </w:p>
    <w:p w:rsidR="00281883" w:rsidRDefault="002B3B14">
      <w:pPr>
        <w:ind w:left="280" w:right="1540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Flowlines and Wellhead Installations at ADNOC Onshore Fields (Package 1, 2, 3 &amp; 4) ADNOC Onshore's Rumaitha North CO2 Project Expansion</w:t>
      </w:r>
    </w:p>
    <w:p w:rsidR="00281883" w:rsidRDefault="002B3B14">
      <w:pPr>
        <w:spacing w:line="326" w:lineRule="auto"/>
        <w:ind w:left="280" w:right="2300"/>
        <w:rPr>
          <w:sz w:val="24"/>
          <w:szCs w:val="24"/>
        </w:rPr>
      </w:pPr>
      <w:r>
        <w:rPr>
          <w:rFonts w:ascii="DejaVu Serif" w:eastAsia="DejaVu Serif" w:hAnsi="DejaVu Serif" w:cs="DejaVu Serif"/>
          <w:color w:val="00000A"/>
          <w:sz w:val="19"/>
          <w:szCs w:val="19"/>
        </w:rPr>
        <w:t>CMEI works for Ruwais</w:t>
      </w:r>
      <w:r>
        <w:rPr>
          <w:rFonts w:ascii="DejaVu Serif" w:eastAsia="DejaVu Serif" w:hAnsi="DejaVu Serif" w:cs="DejaVu Serif"/>
          <w:color w:val="00000A"/>
          <w:sz w:val="19"/>
          <w:szCs w:val="19"/>
        </w:rPr>
        <w:t xml:space="preserve"> Refinery Expansion Project for Samsung Engineering MEI Work for SRU Project in Ruwai Refinery for Wison Engineering</w:t>
      </w:r>
    </w:p>
    <w:p w:rsidR="00281883" w:rsidRDefault="00281883">
      <w:pPr>
        <w:spacing w:line="92" w:lineRule="exact"/>
        <w:rPr>
          <w:sz w:val="24"/>
          <w:szCs w:val="24"/>
        </w:rPr>
      </w:pPr>
    </w:p>
    <w:p w:rsidR="00281883" w:rsidRDefault="002B3B14">
      <w:pPr>
        <w:tabs>
          <w:tab w:val="left" w:pos="7520"/>
        </w:tabs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MUSCAT, OMAN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Sept, 2013 to Feb, 2017</w:t>
      </w:r>
    </w:p>
    <w:p w:rsidR="00281883" w:rsidRDefault="00281883">
      <w:pPr>
        <w:spacing w:line="6" w:lineRule="exact"/>
        <w:rPr>
          <w:sz w:val="24"/>
          <w:szCs w:val="24"/>
        </w:rPr>
      </w:pPr>
    </w:p>
    <w:p w:rsidR="00281883" w:rsidRPr="002B3B14" w:rsidRDefault="002B3B14" w:rsidP="002B3B14">
      <w:pPr>
        <w:spacing w:line="259" w:lineRule="auto"/>
        <w:jc w:val="both"/>
        <w:rPr>
          <w:sz w:val="20"/>
          <w:szCs w:val="20"/>
        </w:rPr>
        <w:sectPr w:rsidR="00281883" w:rsidRPr="002B3B14">
          <w:pgSz w:w="11900" w:h="16837"/>
          <w:pgMar w:top="676" w:right="726" w:bottom="248" w:left="720" w:header="0" w:footer="0" w:gutter="0"/>
          <w:cols w:space="720" w:equalWidth="0">
            <w:col w:w="10460"/>
          </w:cols>
        </w:sect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lastRenderedPageBreak/>
        <w:t>An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Engineering &amp; Construction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company with headquarter in Muscat, Oman which executes integrated multi-disciplinary construction projects under one umbrella, involving Civil, Mechanical, Electrical, Instrumentation, Elevators and Escalators, Diesel Power Generation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.</w:t>
      </w:r>
    </w:p>
    <w:p w:rsidR="00281883" w:rsidRDefault="002B3B14">
      <w:pPr>
        <w:tabs>
          <w:tab w:val="left" w:pos="6460"/>
        </w:tabs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lastRenderedPageBreak/>
        <w:t>Role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Engineer – Proposal &amp; Estimation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as an Estimation Engineer – Electrical Projects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spacing w:line="238" w:lineRule="auto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independently on Proposals &amp; Tendering for EPC &amp; Erection Projects in Oil &amp; Gas (including ADCO Projects) and Non Oil Sector inclu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ding electrical Substations upto 400KV level, Power Plants, DEWA substation Projects (including substations for private companies like Meraas, Meydan, Sobha, etc.)</w:t>
      </w:r>
    </w:p>
    <w:p w:rsidR="00281883" w:rsidRDefault="00281883">
      <w:pPr>
        <w:spacing w:line="3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Responsibilities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81883">
      <w:pPr>
        <w:spacing w:line="217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Manage proposal development from RFP receipt to contract award.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RFQ Rev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iew and analysis, including technical and commercial requirements.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Coordinate input from other departments to develop bids responsive to customer requirements.</w:t>
      </w:r>
    </w:p>
    <w:p w:rsidR="00281883" w:rsidRDefault="002B3B14">
      <w:pPr>
        <w:ind w:left="360" w:hanging="9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Establish a network of employees, consultants, and vendors who can provide support for peak cap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acity periods.</w:t>
      </w:r>
    </w:p>
    <w:p w:rsidR="00281883" w:rsidRDefault="002B3B14">
      <w:pPr>
        <w:ind w:left="280" w:right="70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Cost estimation of the project. Schedule and report on the status of proposals in the pipeline. Develop and operate the company’s proposal knowledgebase and archival storage.</w:t>
      </w:r>
    </w:p>
    <w:p w:rsidR="00281883" w:rsidRDefault="002B3B14">
      <w:pPr>
        <w:ind w:left="28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Ensure the proposals are of high quality and are prepared in a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timely manner to comply with internal review requirements and customer requirements.</w:t>
      </w:r>
    </w:p>
    <w:p w:rsidR="00281883" w:rsidRDefault="002B3B14">
      <w:pPr>
        <w:ind w:left="28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Enhance, develop, monitor and improve proposal processes and tools to improve quality, delivery time, and accuracy of proposals.</w:t>
      </w:r>
    </w:p>
    <w:p w:rsidR="00281883" w:rsidRDefault="002B3B14">
      <w:pPr>
        <w:spacing w:line="299" w:lineRule="auto"/>
        <w:ind w:left="28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Keeps up-to-date with technical developmen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ts, both internal and external, as well as industry developments</w:t>
      </w:r>
    </w:p>
    <w:p w:rsidR="00281883" w:rsidRDefault="00281883">
      <w:pPr>
        <w:spacing w:line="115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List of worked proposal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spacing w:line="224" w:lineRule="auto"/>
        <w:ind w:left="36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independently on price estimation of Electrical Projects. Few among them are listed below:-</w:t>
      </w:r>
    </w:p>
    <w:p w:rsidR="00281883" w:rsidRDefault="002B3B14">
      <w:pPr>
        <w:rPr>
          <w:sz w:val="20"/>
          <w:szCs w:val="20"/>
        </w:rPr>
      </w:pPr>
      <w:r>
        <w:rPr>
          <w:rFonts w:ascii="DejaVu Sans" w:eastAsia="DejaVu Sans" w:hAnsi="DejaVu Sans" w:cs="DejaVu Sans"/>
          <w:color w:val="00000A"/>
        </w:rPr>
        <w:t>T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urnkey EPC Package for 132 KV La Mer Substation, Meraas LLC, Dub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ai, UAE</w:t>
      </w:r>
    </w:p>
    <w:p w:rsidR="00281883" w:rsidRDefault="00281883">
      <w:pPr>
        <w:spacing w:line="3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Turnkey EPC Package for 132/11 KV Substation in MOHAMMED BIN RASHID AL MAKTOUM CITY,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28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DISTRICT ONE</w:t>
      </w:r>
    </w:p>
    <w:p w:rsidR="00281883" w:rsidRDefault="002B3B14">
      <w:pPr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Upgradation (EPC) of 132 Kv Grid Station for Oman Electricity Transmission Company (OETC), Oman</w:t>
      </w:r>
    </w:p>
    <w:p w:rsidR="00281883" w:rsidRDefault="002B3B14">
      <w:pPr>
        <w:ind w:left="280" w:right="40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Construction services for Yibal Khuff Project - on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plot with Petroleum Development Oman (PDO) EPC Package for 132/33kkV Shinas 2 GS and Associated 132kV D/C OHL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Electrical Installation Work for Sohar IPP Project for SEPCO 3 in Oman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CMEI package for Salalah Ammonia Project for SMC Salalah Methanol Company</w:t>
      </w:r>
    </w:p>
    <w:p w:rsidR="00281883" w:rsidRDefault="002B3B14">
      <w:pPr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EPC contract for Yibal Khuf Combined Cycle Power Station (CCPS) for Petroleum Development Oman (PDO)</w:t>
      </w:r>
    </w:p>
    <w:p w:rsidR="00281883" w:rsidRDefault="002B3B14">
      <w:pPr>
        <w:ind w:left="280" w:right="2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EPC contract for Saih Rawl Combined Cycle Power Station (CCPS) for Petroleum Development Oman (PDO)</w:t>
      </w:r>
    </w:p>
    <w:p w:rsidR="002B3B14" w:rsidRDefault="002B3B14" w:rsidP="002B3B14">
      <w:pPr>
        <w:spacing w:line="299" w:lineRule="auto"/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EPC Contract for Lekhwair Combined Cycle Power Plant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(CCPS) Project or Petroleum Development Oman (PDO)</w:t>
      </w:r>
    </w:p>
    <w:p w:rsidR="00281883" w:rsidRDefault="002B3B14" w:rsidP="002B3B14">
      <w:pPr>
        <w:spacing w:line="299" w:lineRule="auto"/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 xml:space="preserve"> Abu Dhabi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July, 2012 to Jan, 2013</w:t>
      </w:r>
    </w:p>
    <w:p w:rsidR="00281883" w:rsidRDefault="00281883">
      <w:pPr>
        <w:spacing w:line="4" w:lineRule="exact"/>
        <w:rPr>
          <w:sz w:val="20"/>
          <w:szCs w:val="20"/>
        </w:rPr>
      </w:pPr>
    </w:p>
    <w:p w:rsidR="00281883" w:rsidRDefault="002B3B14">
      <w:pPr>
        <w:spacing w:line="239" w:lineRule="auto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An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Engineering &amp; Construction company registered in the Dubai, UAE and offers wide range of services to Oil, Gas, Petroch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emicals, Power and non conventional energy industry, which is an associate of Maa Kuthari Group, a fast growing UAE based business group with varied interests in Engineering, Construction, trading, Entertainment, Agriculture, Technical Training and Childre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n education.</w:t>
      </w:r>
    </w:p>
    <w:p w:rsidR="00281883" w:rsidRDefault="00281883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60"/>
        <w:gridCol w:w="4800"/>
      </w:tblGrid>
      <w:tr w:rsidR="00281883">
        <w:trPr>
          <w:trHeight w:val="41"/>
        </w:trPr>
        <w:tc>
          <w:tcPr>
            <w:tcW w:w="566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  <w:tc>
          <w:tcPr>
            <w:tcW w:w="480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</w:tr>
      <w:tr w:rsidR="00281883">
        <w:trPr>
          <w:trHeight w:val="234"/>
        </w:trPr>
        <w:tc>
          <w:tcPr>
            <w:tcW w:w="5660" w:type="dxa"/>
            <w:shd w:val="clear" w:color="auto" w:fill="BFBFBF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Role</w:t>
            </w:r>
          </w:p>
        </w:tc>
        <w:tc>
          <w:tcPr>
            <w:tcW w:w="4800" w:type="dxa"/>
            <w:shd w:val="clear" w:color="auto" w:fill="BFBFBF"/>
            <w:vAlign w:val="bottom"/>
          </w:tcPr>
          <w:p w:rsidR="00281883" w:rsidRDefault="002B3B14">
            <w:pPr>
              <w:ind w:left="82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Engineer – Proposal &amp; Estimation</w:t>
            </w:r>
          </w:p>
        </w:tc>
      </w:tr>
      <w:tr w:rsidR="00281883">
        <w:trPr>
          <w:trHeight w:val="198"/>
        </w:trPr>
        <w:tc>
          <w:tcPr>
            <w:tcW w:w="5660" w:type="dxa"/>
            <w:vAlign w:val="bottom"/>
          </w:tcPr>
          <w:p w:rsidR="00281883" w:rsidRDefault="002B3B14">
            <w:pPr>
              <w:spacing w:line="198" w:lineRule="exact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Worked as an Engineer – Proposal &amp; Tendering</w:t>
            </w:r>
          </w:p>
        </w:tc>
        <w:tc>
          <w:tcPr>
            <w:tcW w:w="4800" w:type="dxa"/>
            <w:vAlign w:val="bottom"/>
          </w:tcPr>
          <w:p w:rsidR="00281883" w:rsidRDefault="00281883">
            <w:pPr>
              <w:rPr>
                <w:sz w:val="17"/>
                <w:szCs w:val="17"/>
              </w:rPr>
            </w:pPr>
          </w:p>
        </w:tc>
      </w:tr>
    </w:tbl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on Proposals &amp; Tendering for EPC &amp; Erection Projects in Oil &amp; Gas and Non Oil Sector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6645910" cy="1498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81883">
      <w:pPr>
        <w:spacing w:line="214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Manage proposal development from RFP receipt to contract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award.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RFQ Review and analysis, including technical and commercial requirements.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360" w:righ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Coordinate input from other departments to develop bids responsive to customer requirements. Identify the scope of strategic alliance if any.</w:t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Establish a network of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employees, consultants, and vendors who can provide support for peak capacity periods.</w:t>
      </w:r>
    </w:p>
    <w:p w:rsidR="00281883" w:rsidRDefault="002B3B14">
      <w:pPr>
        <w:ind w:left="360" w:right="6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Cost estimation of the project. Schedule and report on the status of proposals in the pipeline. Develop and operate the company’s proposal knowledgebase and archival sto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rage.</w:t>
      </w:r>
    </w:p>
    <w:p w:rsidR="00281883" w:rsidRDefault="002B3B14">
      <w:pPr>
        <w:ind w:left="36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Ensure the proposals are of high quality and are prepared in a timely manner to comply with internal review requirements and customer requirements.</w:t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Enhance, develop, monitor and improve proposal processes and tools to improve quality, delivery time,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and accuracy of proposals.</w:t>
      </w:r>
    </w:p>
    <w:p w:rsidR="00281883" w:rsidRPr="002B3B14" w:rsidRDefault="002B3B14" w:rsidP="002B3B14">
      <w:pPr>
        <w:spacing w:line="297" w:lineRule="auto"/>
        <w:ind w:left="360" w:right="20"/>
        <w:rPr>
          <w:sz w:val="20"/>
          <w:szCs w:val="20"/>
        </w:rPr>
        <w:sectPr w:rsidR="00281883" w:rsidRPr="002B3B14">
          <w:pgSz w:w="11900" w:h="16837"/>
          <w:pgMar w:top="914" w:right="726" w:bottom="153" w:left="720" w:header="0" w:footer="0" w:gutter="0"/>
          <w:cols w:space="720" w:equalWidth="0">
            <w:col w:w="10460"/>
          </w:cols>
        </w:sect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Keeps up-to-date with technical developments, both internal and external, as well as industry developments</w:t>
      </w:r>
    </w:p>
    <w:p w:rsidR="00281883" w:rsidRDefault="002B3B14">
      <w:pPr>
        <w:tabs>
          <w:tab w:val="left" w:pos="7180"/>
        </w:tabs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lastRenderedPageBreak/>
        <w:t>UB ENGINEERING LIMITED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19"/>
          <w:szCs w:val="19"/>
        </w:rPr>
        <w:t>January, 2009 till June 2012</w:t>
      </w:r>
    </w:p>
    <w:p w:rsidR="00281883" w:rsidRDefault="00281883">
      <w:pPr>
        <w:spacing w:line="4" w:lineRule="exact"/>
        <w:rPr>
          <w:sz w:val="20"/>
          <w:szCs w:val="20"/>
        </w:rPr>
      </w:pPr>
    </w:p>
    <w:p w:rsidR="00281883" w:rsidRDefault="002B3B14">
      <w:pPr>
        <w:spacing w:line="237" w:lineRule="auto"/>
        <w:ind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UB Engineering Ltd is a part of $ 2 billion UB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Conglomerate with diverse portfolios like Engineering, Aviation, Fertilizers, Distilleries, IT and Infrastructure etc.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tabs>
          <w:tab w:val="left" w:pos="5740"/>
        </w:tabs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Role</w:t>
      </w:r>
      <w:r>
        <w:rPr>
          <w:sz w:val="20"/>
          <w:szCs w:val="20"/>
        </w:rPr>
        <w:tab/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Sr. Engineer – Proposal (EPC Projects)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as Sr. Engineer (Electrical) in EPC Division</w:t>
      </w:r>
    </w:p>
    <w:p w:rsidR="00281883" w:rsidRDefault="002B3B14">
      <w:pPr>
        <w:spacing w:line="237" w:lineRule="auto"/>
        <w:ind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independently on Proposals &amp; Te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ndering for EPC &amp; LSTK Projects in sectors like Power, Oil &amp; Gas, Steel, Cement, Switchyard / Substation, etc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Responsibilities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Manage proposal development from RFP receipt to contract award.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RFQ Review and analysis, including technical and commercial re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quirements.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360" w:righ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Coordinate input from other departments to develop bids responsive to customer requirements. Identify the scope of strategic alliance if any.</w:t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Establish a network of employees, consultants, and vendors who can provide support for peak capacity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periods.</w:t>
      </w:r>
    </w:p>
    <w:p w:rsidR="00281883" w:rsidRDefault="002B3B14">
      <w:pPr>
        <w:ind w:left="360" w:right="6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Cost estimation of the project. Schedule and report on the status of proposals in the pipeline. Develop and operate the company’s proposal knowledgebase and archival storage.</w:t>
      </w:r>
    </w:p>
    <w:p w:rsidR="00281883" w:rsidRDefault="002B3B14">
      <w:pPr>
        <w:ind w:left="36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Ensure the proposals are of high quality and are prepared in a timely ma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nner to comply with internal review requirements and customer requirements.</w:t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Enhance, develop, monitor and improve proposal processes and tools to improve quality, delivery time, and accuracy of proposals.</w:t>
      </w:r>
    </w:p>
    <w:p w:rsidR="00281883" w:rsidRDefault="002B3B14">
      <w:pPr>
        <w:spacing w:line="297" w:lineRule="auto"/>
        <w:ind w:left="36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Keeps up-to-date with technical developments, both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internal and external, as well as industry developments</w:t>
      </w:r>
    </w:p>
    <w:p w:rsidR="00281883" w:rsidRDefault="00281883">
      <w:pPr>
        <w:spacing w:line="117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List of worked proposal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ind w:left="36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Worked independently on price estimation of Projects. Few among them are listed below:-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Electrical Installation works for 2 x 80 Mw CPP and plate mill works at Electrosteel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Ltd, Bokaro.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Electrical Installation works at 3 x 350 MW Thermal Power Plant, GMR Kamalanga Energy Ltd, Orissa for SEPCO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Structural steel works at GAIL Petrochemical Complex-II at Vijaipur (M.P) &amp;Guna (U.P)</w:t>
      </w:r>
    </w:p>
    <w:p w:rsidR="00281883" w:rsidRDefault="002B3B14">
      <w:pPr>
        <w:ind w:left="280" w:right="2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EPC Work for 25KLPD grain based distillery (in J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V with Alfa Laval) for Nayagarh Sugar Mill, Orissa, India</w:t>
      </w:r>
    </w:p>
    <w:p w:rsidR="00281883" w:rsidRDefault="002B3B14">
      <w:pPr>
        <w:ind w:left="280" w:right="2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EPC Work for 60KLPD grain based distillery (in JV with Alfa Laval) for M/sADS Spirits, Harayana, India</w:t>
      </w:r>
    </w:p>
    <w:p w:rsidR="00281883" w:rsidRDefault="002B3B14">
      <w:pPr>
        <w:spacing w:line="299" w:lineRule="auto"/>
        <w:ind w:left="280" w:hanging="2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Auxillary power, Lighting &amp; Earthing Package for New Plate Mill for Steel Authority of India Li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mited (SAIL) in Rourkela, on Divisible Turnkey Contract</w:t>
      </w:r>
    </w:p>
    <w:p w:rsidR="00281883" w:rsidRDefault="00281883">
      <w:pPr>
        <w:spacing w:line="1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60"/>
        <w:gridCol w:w="4300"/>
      </w:tblGrid>
      <w:tr w:rsidR="00281883">
        <w:trPr>
          <w:trHeight w:val="41"/>
        </w:trPr>
        <w:tc>
          <w:tcPr>
            <w:tcW w:w="616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  <w:tc>
          <w:tcPr>
            <w:tcW w:w="430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</w:tr>
      <w:tr w:rsidR="00281883">
        <w:trPr>
          <w:trHeight w:val="234"/>
        </w:trPr>
        <w:tc>
          <w:tcPr>
            <w:tcW w:w="6160" w:type="dxa"/>
            <w:shd w:val="clear" w:color="auto" w:fill="BFBFBF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Voltamp controls (India) Pvt Ltd,</w:t>
            </w:r>
          </w:p>
        </w:tc>
        <w:tc>
          <w:tcPr>
            <w:tcW w:w="4300" w:type="dxa"/>
            <w:shd w:val="clear" w:color="auto" w:fill="BFBFBF"/>
            <w:vAlign w:val="bottom"/>
          </w:tcPr>
          <w:p w:rsidR="00281883" w:rsidRDefault="002B3B14">
            <w:pPr>
              <w:ind w:left="32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From June 2008 to December 2008</w:t>
            </w:r>
          </w:p>
        </w:tc>
      </w:tr>
      <w:tr w:rsidR="00281883">
        <w:trPr>
          <w:trHeight w:val="200"/>
        </w:trPr>
        <w:tc>
          <w:tcPr>
            <w:tcW w:w="6160" w:type="dxa"/>
            <w:vAlign w:val="bottom"/>
          </w:tcPr>
          <w:p w:rsidR="00281883" w:rsidRDefault="002B3B1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Testing and Development Engineer (Mumbai)</w:t>
            </w:r>
          </w:p>
        </w:tc>
        <w:tc>
          <w:tcPr>
            <w:tcW w:w="4300" w:type="dxa"/>
            <w:vAlign w:val="bottom"/>
          </w:tcPr>
          <w:p w:rsidR="00281883" w:rsidRDefault="00281883">
            <w:pPr>
              <w:rPr>
                <w:sz w:val="17"/>
                <w:szCs w:val="17"/>
              </w:rPr>
            </w:pPr>
          </w:p>
        </w:tc>
      </w:tr>
      <w:tr w:rsidR="00281883">
        <w:trPr>
          <w:trHeight w:val="232"/>
        </w:trPr>
        <w:tc>
          <w:tcPr>
            <w:tcW w:w="6160" w:type="dxa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Responsibility Includes development, testing and quality</w:t>
            </w:r>
          </w:p>
        </w:tc>
        <w:tc>
          <w:tcPr>
            <w:tcW w:w="4300" w:type="dxa"/>
            <w:vAlign w:val="bottom"/>
          </w:tcPr>
          <w:p w:rsidR="00281883" w:rsidRDefault="002B3B14">
            <w:pPr>
              <w:ind w:left="8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control of Autotransformers,</w:t>
            </w: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 xml:space="preserve">    Voltage</w:t>
            </w:r>
          </w:p>
        </w:tc>
      </w:tr>
    </w:tbl>
    <w:p w:rsidR="00281883" w:rsidRDefault="002B3B14">
      <w:pPr>
        <w:spacing w:line="299" w:lineRule="auto"/>
        <w:ind w:right="20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regulators, Stabilizers, etc. Tests like Insulation tests, no load Current test, Variation of output voltage test, induced voltage test, Short-circuit test, Back to back to test, etc are conducted.</w:t>
      </w:r>
    </w:p>
    <w:p w:rsidR="00281883" w:rsidRDefault="00281883">
      <w:pPr>
        <w:spacing w:line="115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ACHIEVEMENTS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859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ind w:right="20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Has played a pivotal role in 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price estimating as a core team member in making the bid successful and getting the contract awarded in many projects. The notable among these are listed below:</w:t>
      </w:r>
    </w:p>
    <w:p w:rsidR="00281883" w:rsidRDefault="002B3B14">
      <w:pPr>
        <w:spacing w:line="252" w:lineRule="auto"/>
        <w:ind w:left="280" w:right="38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19"/>
          <w:szCs w:val="19"/>
        </w:rPr>
        <w:t>Electrical Installation works for 2 x 80 Mw CPP and plate mill works at Electrosteel Ltd, Bokar</w:t>
      </w:r>
      <w:r>
        <w:rPr>
          <w:rFonts w:ascii="DejaVu Serif" w:eastAsia="DejaVu Serif" w:hAnsi="DejaVu Serif" w:cs="DejaVu Serif"/>
          <w:color w:val="00000A"/>
          <w:sz w:val="19"/>
          <w:szCs w:val="19"/>
        </w:rPr>
        <w:t>o. Electrical Installation works at 3 x 350 MW Thermal Power Plant, GMR Kamalanga Energy Ltd,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28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Orrissa for SEPCO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ind w:left="10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Structural steel works at GAIL Petrochemical Complex-II at Vijaipur (M.P) &amp;Guna (U.P)</w:t>
      </w:r>
    </w:p>
    <w:p w:rsidR="00281883" w:rsidRDefault="002B3B14">
      <w:pPr>
        <w:spacing w:line="253" w:lineRule="auto"/>
        <w:ind w:left="280" w:right="1020"/>
        <w:jc w:val="both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19"/>
          <w:szCs w:val="19"/>
        </w:rPr>
        <w:t xml:space="preserve">Electrical works for Package 2 of Sohar Refinery </w:t>
      </w:r>
      <w:r>
        <w:rPr>
          <w:rFonts w:ascii="DejaVu Serif" w:eastAsia="DejaVu Serif" w:hAnsi="DejaVu Serif" w:cs="DejaVu Serif"/>
          <w:color w:val="00000A"/>
          <w:sz w:val="19"/>
          <w:szCs w:val="19"/>
        </w:rPr>
        <w:t>Improvement Project, Oman for Petrofac Electrical works for Package 6 of Sohar Refinery Improvement Project, Oman for Petrofac Turnkey EPC Package for 132 KV La Mer Substation, Meraas LLC, Dubai, UAE</w:t>
      </w:r>
    </w:p>
    <w:p w:rsidR="00281883" w:rsidRDefault="002B3B14">
      <w:pPr>
        <w:ind w:left="280" w:right="2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Upgradation (EPC) of 132 Kv Grid Station for Oman Electr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icity Transmission Company (OETC), Oman</w:t>
      </w:r>
    </w:p>
    <w:p w:rsidR="00281883" w:rsidRDefault="002B3B14">
      <w:pPr>
        <w:ind w:left="28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EPC of 60 MW Saih Rawl Combined Cycle Power Station (CCPS) for Petroleum Development Oman (PDO)</w:t>
      </w:r>
    </w:p>
    <w:p w:rsidR="00281883" w:rsidRDefault="002B3B14">
      <w:pPr>
        <w:spacing w:line="233" w:lineRule="auto"/>
        <w:ind w:left="100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Electrical Installation Work for Sohar IPP Project for SEPCO 3 in Oman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TRAINING PROGRAMS ATTENDED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-122555</wp:posOffset>
            </wp:positionV>
            <wp:extent cx="6645910" cy="14986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Developing Interper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sonal skills</w:t>
      </w:r>
    </w:p>
    <w:p w:rsidR="00281883" w:rsidRDefault="002B3B14">
      <w:pPr>
        <w:spacing w:line="235" w:lineRule="auto"/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Supply Chain Management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SOFTWARE SKILLS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-121920</wp:posOffset>
            </wp:positionV>
            <wp:extent cx="6645910" cy="1485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lastRenderedPageBreak/>
        <w:t xml:space="preserve">Completed </w:t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PROFESSIONAL IN ELECTRICAL CAD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 xml:space="preserve"> from CADD CENTRE, Panvel Branch.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Software covered:</w:t>
      </w: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AutoCAD 2006</w:t>
      </w:r>
    </w:p>
    <w:p w:rsidR="00281883" w:rsidRDefault="00281883">
      <w:pPr>
        <w:sectPr w:rsidR="00281883">
          <w:pgSz w:w="11900" w:h="16837"/>
          <w:pgMar w:top="914" w:right="726" w:bottom="424" w:left="720" w:header="0" w:footer="0" w:gutter="0"/>
          <w:cols w:space="720" w:equalWidth="0">
            <w:col w:w="10460"/>
          </w:cols>
        </w:sectPr>
      </w:pPr>
    </w:p>
    <w:p w:rsidR="00281883" w:rsidRDefault="002B3B14">
      <w:pPr>
        <w:spacing w:line="237" w:lineRule="auto"/>
        <w:ind w:right="40"/>
        <w:rPr>
          <w:sz w:val="20"/>
          <w:szCs w:val="20"/>
        </w:rPr>
      </w:pP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lastRenderedPageBreak/>
        <w:t xml:space="preserve">Sketching, Creating &amp; managing layers, running scripts, creating compound </w:t>
      </w: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documents with OLE and External reference, Layout Management, Exporting AutoCAD object</w:t>
      </w:r>
    </w:p>
    <w:p w:rsidR="00281883" w:rsidRDefault="00281883">
      <w:pPr>
        <w:spacing w:line="1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PC Schematic El Automation</w:t>
      </w:r>
    </w:p>
    <w:p w:rsidR="00281883" w:rsidRDefault="00281883">
      <w:pPr>
        <w:spacing w:line="5" w:lineRule="exact"/>
        <w:rPr>
          <w:sz w:val="20"/>
          <w:szCs w:val="20"/>
        </w:rPr>
      </w:pPr>
    </w:p>
    <w:p w:rsidR="00281883" w:rsidRDefault="002B3B14">
      <w:pPr>
        <w:rPr>
          <w:sz w:val="20"/>
          <w:szCs w:val="20"/>
        </w:rPr>
      </w:pP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Drafting, Documentation, Design Check, Create cable plan, Create terminal plan, Create PLC Project</w:t>
      </w:r>
    </w:p>
    <w:p w:rsidR="00281883" w:rsidRDefault="002B3B14">
      <w:pPr>
        <w:numPr>
          <w:ilvl w:val="0"/>
          <w:numId w:val="9"/>
        </w:numPr>
        <w:tabs>
          <w:tab w:val="left" w:pos="240"/>
        </w:tabs>
        <w:spacing w:line="235" w:lineRule="auto"/>
        <w:ind w:left="240" w:hanging="238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PLC Diagram, Create ground plan</w:t>
      </w:r>
    </w:p>
    <w:p w:rsidR="00281883" w:rsidRDefault="002B3B14">
      <w:pP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Microsoft</w:t>
      </w: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 xml:space="preserve"> Project</w:t>
      </w:r>
    </w:p>
    <w:p w:rsidR="00281883" w:rsidRDefault="00281883">
      <w:pPr>
        <w:spacing w:line="4" w:lineRule="exact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</w:p>
    <w:p w:rsidR="00281883" w:rsidRDefault="002B3B14">
      <w:pPr>
        <w:spacing w:line="238" w:lineRule="auto"/>
        <w:ind w:right="580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To schedule plan &amp; control, Network analysis- CPM, PERT, PDM, to prepare Work Breakdown Structure, Resource planning and cost estimation ,Earned Value Analysis ,Scheduling in multiple project</w:t>
      </w:r>
    </w:p>
    <w:p w:rsidR="00281883" w:rsidRDefault="00281883">
      <w:pPr>
        <w:spacing w:line="2" w:lineRule="exact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</w:p>
    <w:p w:rsidR="00281883" w:rsidRDefault="002B3B14">
      <w:pP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b/>
          <w:bCs/>
          <w:color w:val="00000A"/>
          <w:sz w:val="20"/>
          <w:szCs w:val="20"/>
        </w:rPr>
        <w:t>EDUCATIONAL QUALIFICATION</w:t>
      </w:r>
    </w:p>
    <w:p w:rsidR="00281883" w:rsidRDefault="00281883">
      <w:pPr>
        <w:spacing w:line="4" w:lineRule="exact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</w:p>
    <w:p w:rsidR="00281883" w:rsidRDefault="002B3B14">
      <w:pPr>
        <w:ind w:right="580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BE Electrical (</w:t>
      </w: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 xml:space="preserve">affiliated </w:t>
      </w: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with Mumbai University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) AC Patil college of engineering, Kharghar, Navi Mumbai</w:t>
      </w:r>
    </w:p>
    <w:p w:rsidR="00281883" w:rsidRDefault="002B3B14">
      <w:pPr>
        <w:spacing w:line="299" w:lineRule="auto"/>
        <w:ind w:right="100"/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</w:pPr>
      <w:r>
        <w:rPr>
          <w:rFonts w:ascii="DejaVu Serif" w:eastAsia="DejaVu Serif" w:hAnsi="DejaVu Serif" w:cs="DejaVu Serif"/>
          <w:color w:val="00000A"/>
          <w:sz w:val="20"/>
          <w:szCs w:val="20"/>
        </w:rPr>
        <w:t>MBA – Operation Management (</w:t>
      </w:r>
      <w:r>
        <w:rPr>
          <w:rFonts w:ascii="DejaVu Serif" w:eastAsia="DejaVu Serif" w:hAnsi="DejaVu Serif" w:cs="DejaVu Serif"/>
          <w:i/>
          <w:iCs/>
          <w:color w:val="00000A"/>
          <w:sz w:val="20"/>
          <w:szCs w:val="20"/>
        </w:rPr>
        <w:t>affiliated with Southern New Hampshire University, USA</w:t>
      </w:r>
      <w:r>
        <w:rPr>
          <w:rFonts w:ascii="DejaVu Serif" w:eastAsia="DejaVu Serif" w:hAnsi="DejaVu Serif" w:cs="DejaVu Serif"/>
          <w:color w:val="00000A"/>
          <w:sz w:val="20"/>
          <w:szCs w:val="20"/>
        </w:rPr>
        <w:t>) Institute of Technology and Management, Navi Mumbai</w:t>
      </w:r>
    </w:p>
    <w:p w:rsidR="00281883" w:rsidRDefault="002B3B1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-789305</wp:posOffset>
            </wp:positionV>
            <wp:extent cx="6645910" cy="1485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4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1883" w:rsidRDefault="00281883">
      <w:pPr>
        <w:spacing w:line="327" w:lineRule="exact"/>
        <w:rPr>
          <w:sz w:val="20"/>
          <w:szCs w:val="20"/>
        </w:rPr>
      </w:pP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0"/>
        <w:gridCol w:w="3660"/>
        <w:gridCol w:w="20"/>
      </w:tblGrid>
      <w:tr w:rsidR="00281883" w:rsidTr="002B3B14">
        <w:trPr>
          <w:trHeight w:val="41"/>
        </w:trPr>
        <w:tc>
          <w:tcPr>
            <w:tcW w:w="680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  <w:tc>
          <w:tcPr>
            <w:tcW w:w="3660" w:type="dxa"/>
            <w:vAlign w:val="bottom"/>
          </w:tcPr>
          <w:p w:rsidR="00281883" w:rsidRDefault="0028188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  <w:tr w:rsidR="00281883" w:rsidTr="002B3B14">
        <w:trPr>
          <w:trHeight w:val="236"/>
        </w:trPr>
        <w:tc>
          <w:tcPr>
            <w:tcW w:w="6800" w:type="dxa"/>
            <w:shd w:val="clear" w:color="auto" w:fill="BFBFBF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Proficiency in Languages.</w:t>
            </w:r>
          </w:p>
        </w:tc>
        <w:tc>
          <w:tcPr>
            <w:tcW w:w="3660" w:type="dxa"/>
            <w:shd w:val="clear" w:color="auto" w:fill="BFBFBF"/>
            <w:vAlign w:val="bottom"/>
          </w:tcPr>
          <w:p w:rsidR="00281883" w:rsidRDefault="002818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  <w:tr w:rsidR="00281883" w:rsidTr="002B3B14">
        <w:trPr>
          <w:trHeight w:val="232"/>
        </w:trPr>
        <w:tc>
          <w:tcPr>
            <w:tcW w:w="6800" w:type="dxa"/>
            <w:vAlign w:val="bottom"/>
          </w:tcPr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English, Hindi, Malayalam and Marathi - read, write and speak</w:t>
            </w:r>
          </w:p>
        </w:tc>
        <w:tc>
          <w:tcPr>
            <w:tcW w:w="3660" w:type="dxa"/>
            <w:vAlign w:val="bottom"/>
          </w:tcPr>
          <w:p w:rsidR="00281883" w:rsidRDefault="002818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  <w:tr w:rsidR="00281883" w:rsidTr="002B3B14">
        <w:trPr>
          <w:trHeight w:val="410"/>
        </w:trPr>
        <w:tc>
          <w:tcPr>
            <w:tcW w:w="6800" w:type="dxa"/>
            <w:vAlign w:val="bottom"/>
          </w:tcPr>
          <w:p w:rsidR="002B3B14" w:rsidRDefault="002B3B14">
            <w:pP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</w:pPr>
          </w:p>
          <w:p w:rsidR="00281883" w:rsidRDefault="002B3B14">
            <w:pPr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b/>
                <w:bCs/>
                <w:color w:val="00000A"/>
                <w:sz w:val="20"/>
                <w:szCs w:val="20"/>
              </w:rPr>
              <w:t>Place</w:t>
            </w: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>: Abu Dhabi</w:t>
            </w:r>
          </w:p>
        </w:tc>
        <w:tc>
          <w:tcPr>
            <w:tcW w:w="3660" w:type="dxa"/>
            <w:vAlign w:val="bottom"/>
          </w:tcPr>
          <w:p w:rsidR="00281883" w:rsidRDefault="0028188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  <w:tr w:rsidR="00281883" w:rsidTr="002B3B14">
        <w:trPr>
          <w:trHeight w:val="290"/>
        </w:trPr>
        <w:tc>
          <w:tcPr>
            <w:tcW w:w="6800" w:type="dxa"/>
            <w:vAlign w:val="bottom"/>
          </w:tcPr>
          <w:p w:rsidR="00281883" w:rsidRDefault="0028188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Merge w:val="restart"/>
            <w:vAlign w:val="bottom"/>
          </w:tcPr>
          <w:p w:rsidR="00281883" w:rsidRDefault="002B3B14" w:rsidP="002B3B14">
            <w:pPr>
              <w:ind w:left="1120"/>
              <w:rPr>
                <w:sz w:val="20"/>
                <w:szCs w:val="20"/>
              </w:rPr>
            </w:pPr>
            <w:r>
              <w:rPr>
                <w:rFonts w:ascii="DejaVu Serif" w:eastAsia="DejaVu Serif" w:hAnsi="DejaVu Serif" w:cs="DejaVu Serif"/>
                <w:color w:val="00000A"/>
                <w:sz w:val="20"/>
                <w:szCs w:val="20"/>
              </w:rPr>
              <w:t xml:space="preserve">Manish </w:t>
            </w: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  <w:tr w:rsidR="00281883" w:rsidTr="002B3B14">
        <w:trPr>
          <w:trHeight w:val="234"/>
        </w:trPr>
        <w:tc>
          <w:tcPr>
            <w:tcW w:w="6800" w:type="dxa"/>
            <w:vAlign w:val="bottom"/>
          </w:tcPr>
          <w:p w:rsidR="00281883" w:rsidRDefault="00281883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vMerge/>
            <w:vAlign w:val="bottom"/>
          </w:tcPr>
          <w:p w:rsidR="00281883" w:rsidRDefault="00281883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281883" w:rsidRDefault="00281883">
            <w:pPr>
              <w:rPr>
                <w:sz w:val="1"/>
                <w:szCs w:val="1"/>
              </w:rPr>
            </w:pPr>
          </w:p>
        </w:tc>
      </w:tr>
    </w:tbl>
    <w:p w:rsidR="00281883" w:rsidRDefault="00281883">
      <w:pPr>
        <w:spacing w:line="1" w:lineRule="exact"/>
        <w:rPr>
          <w:sz w:val="20"/>
          <w:szCs w:val="20"/>
        </w:rPr>
      </w:pPr>
    </w:p>
    <w:sectPr w:rsidR="00281883" w:rsidSect="00281883">
      <w:pgSz w:w="11900" w:h="16837"/>
      <w:pgMar w:top="685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erif">
    <w:altName w:val="MS Gothic"/>
    <w:charset w:val="00"/>
    <w:family w:val="roman"/>
    <w:pitch w:val="variable"/>
    <w:sig w:usb0="00000001" w:usb1="5200F9FB" w:usb2="0A040020" w:usb3="00000000" w:csb0="6000009F" w:csb1="DFD70000"/>
  </w:font>
  <w:font w:name="DejaVu Sans">
    <w:altName w:val="Times New Roman"/>
    <w:charset w:val="00"/>
    <w:family w:val="swiss"/>
    <w:pitch w:val="variable"/>
    <w:sig w:usb0="00000000" w:usb1="D200FDFF" w:usb2="0A246029" w:usb3="00000000" w:csb0="600001FF" w:csb1="DFFF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6CE5560"/>
    <w:lvl w:ilvl="0" w:tplc="A49EE5AA">
      <w:start w:val="1"/>
      <w:numFmt w:val="bullet"/>
      <w:lvlText w:val=" "/>
      <w:lvlJc w:val="left"/>
    </w:lvl>
    <w:lvl w:ilvl="1" w:tplc="3940A7E6">
      <w:numFmt w:val="decimal"/>
      <w:lvlText w:val=""/>
      <w:lvlJc w:val="left"/>
    </w:lvl>
    <w:lvl w:ilvl="2" w:tplc="AD9CD4E6">
      <w:numFmt w:val="decimal"/>
      <w:lvlText w:val=""/>
      <w:lvlJc w:val="left"/>
    </w:lvl>
    <w:lvl w:ilvl="3" w:tplc="10C6E6F0">
      <w:numFmt w:val="decimal"/>
      <w:lvlText w:val=""/>
      <w:lvlJc w:val="left"/>
    </w:lvl>
    <w:lvl w:ilvl="4" w:tplc="328EE06C">
      <w:numFmt w:val="decimal"/>
      <w:lvlText w:val=""/>
      <w:lvlJc w:val="left"/>
    </w:lvl>
    <w:lvl w:ilvl="5" w:tplc="1EDE8108">
      <w:numFmt w:val="decimal"/>
      <w:lvlText w:val=""/>
      <w:lvlJc w:val="left"/>
    </w:lvl>
    <w:lvl w:ilvl="6" w:tplc="747C4F66">
      <w:numFmt w:val="decimal"/>
      <w:lvlText w:val=""/>
      <w:lvlJc w:val="left"/>
    </w:lvl>
    <w:lvl w:ilvl="7" w:tplc="62385C48">
      <w:numFmt w:val="decimal"/>
      <w:lvlText w:val=""/>
      <w:lvlJc w:val="left"/>
    </w:lvl>
    <w:lvl w:ilvl="8" w:tplc="CD90BC24">
      <w:numFmt w:val="decimal"/>
      <w:lvlText w:val=""/>
      <w:lvlJc w:val="left"/>
    </w:lvl>
  </w:abstractNum>
  <w:abstractNum w:abstractNumId="1">
    <w:nsid w:val="00000BB3"/>
    <w:multiLevelType w:val="hybridMultilevel"/>
    <w:tmpl w:val="471A0530"/>
    <w:lvl w:ilvl="0" w:tplc="610C8082">
      <w:start w:val="1"/>
      <w:numFmt w:val="bullet"/>
      <w:lvlText w:val=" "/>
      <w:lvlJc w:val="left"/>
    </w:lvl>
    <w:lvl w:ilvl="1" w:tplc="7D30FF44">
      <w:numFmt w:val="decimal"/>
      <w:lvlText w:val=""/>
      <w:lvlJc w:val="left"/>
    </w:lvl>
    <w:lvl w:ilvl="2" w:tplc="882A2064">
      <w:numFmt w:val="decimal"/>
      <w:lvlText w:val=""/>
      <w:lvlJc w:val="left"/>
    </w:lvl>
    <w:lvl w:ilvl="3" w:tplc="EF56768C">
      <w:numFmt w:val="decimal"/>
      <w:lvlText w:val=""/>
      <w:lvlJc w:val="left"/>
    </w:lvl>
    <w:lvl w:ilvl="4" w:tplc="445E5126">
      <w:numFmt w:val="decimal"/>
      <w:lvlText w:val=""/>
      <w:lvlJc w:val="left"/>
    </w:lvl>
    <w:lvl w:ilvl="5" w:tplc="991AFEF6">
      <w:numFmt w:val="decimal"/>
      <w:lvlText w:val=""/>
      <w:lvlJc w:val="left"/>
    </w:lvl>
    <w:lvl w:ilvl="6" w:tplc="C3C6F4FA">
      <w:numFmt w:val="decimal"/>
      <w:lvlText w:val=""/>
      <w:lvlJc w:val="left"/>
    </w:lvl>
    <w:lvl w:ilvl="7" w:tplc="A8DC884E">
      <w:numFmt w:val="decimal"/>
      <w:lvlText w:val=""/>
      <w:lvlJc w:val="left"/>
    </w:lvl>
    <w:lvl w:ilvl="8" w:tplc="7B40C316">
      <w:numFmt w:val="decimal"/>
      <w:lvlText w:val=""/>
      <w:lvlJc w:val="left"/>
    </w:lvl>
  </w:abstractNum>
  <w:abstractNum w:abstractNumId="2">
    <w:nsid w:val="00001649"/>
    <w:multiLevelType w:val="hybridMultilevel"/>
    <w:tmpl w:val="DA58EE28"/>
    <w:lvl w:ilvl="0" w:tplc="3E34B144">
      <w:start w:val="1"/>
      <w:numFmt w:val="bullet"/>
      <w:lvlText w:val=" "/>
      <w:lvlJc w:val="left"/>
    </w:lvl>
    <w:lvl w:ilvl="1" w:tplc="F3FA7EAA">
      <w:numFmt w:val="decimal"/>
      <w:lvlText w:val=""/>
      <w:lvlJc w:val="left"/>
    </w:lvl>
    <w:lvl w:ilvl="2" w:tplc="B28E7800">
      <w:numFmt w:val="decimal"/>
      <w:lvlText w:val=""/>
      <w:lvlJc w:val="left"/>
    </w:lvl>
    <w:lvl w:ilvl="3" w:tplc="0B5C41E0">
      <w:numFmt w:val="decimal"/>
      <w:lvlText w:val=""/>
      <w:lvlJc w:val="left"/>
    </w:lvl>
    <w:lvl w:ilvl="4" w:tplc="9014F4B4">
      <w:numFmt w:val="decimal"/>
      <w:lvlText w:val=""/>
      <w:lvlJc w:val="left"/>
    </w:lvl>
    <w:lvl w:ilvl="5" w:tplc="2638B2AC">
      <w:numFmt w:val="decimal"/>
      <w:lvlText w:val=""/>
      <w:lvlJc w:val="left"/>
    </w:lvl>
    <w:lvl w:ilvl="6" w:tplc="EA02F158">
      <w:numFmt w:val="decimal"/>
      <w:lvlText w:val=""/>
      <w:lvlJc w:val="left"/>
    </w:lvl>
    <w:lvl w:ilvl="7" w:tplc="62DAB6A4">
      <w:numFmt w:val="decimal"/>
      <w:lvlText w:val=""/>
      <w:lvlJc w:val="left"/>
    </w:lvl>
    <w:lvl w:ilvl="8" w:tplc="33689F82">
      <w:numFmt w:val="decimal"/>
      <w:lvlText w:val=""/>
      <w:lvlJc w:val="left"/>
    </w:lvl>
  </w:abstractNum>
  <w:abstractNum w:abstractNumId="3">
    <w:nsid w:val="000026E9"/>
    <w:multiLevelType w:val="hybridMultilevel"/>
    <w:tmpl w:val="F9E46BD8"/>
    <w:lvl w:ilvl="0" w:tplc="CDC244C6">
      <w:start w:val="1"/>
      <w:numFmt w:val="bullet"/>
      <w:lvlText w:val=" "/>
      <w:lvlJc w:val="left"/>
    </w:lvl>
    <w:lvl w:ilvl="1" w:tplc="BE0A2ADA">
      <w:numFmt w:val="decimal"/>
      <w:lvlText w:val=""/>
      <w:lvlJc w:val="left"/>
    </w:lvl>
    <w:lvl w:ilvl="2" w:tplc="5FFEF2E0">
      <w:numFmt w:val="decimal"/>
      <w:lvlText w:val=""/>
      <w:lvlJc w:val="left"/>
    </w:lvl>
    <w:lvl w:ilvl="3" w:tplc="31B69ED4">
      <w:numFmt w:val="decimal"/>
      <w:lvlText w:val=""/>
      <w:lvlJc w:val="left"/>
    </w:lvl>
    <w:lvl w:ilvl="4" w:tplc="BD2E3D6A">
      <w:numFmt w:val="decimal"/>
      <w:lvlText w:val=""/>
      <w:lvlJc w:val="left"/>
    </w:lvl>
    <w:lvl w:ilvl="5" w:tplc="849E3680">
      <w:numFmt w:val="decimal"/>
      <w:lvlText w:val=""/>
      <w:lvlJc w:val="left"/>
    </w:lvl>
    <w:lvl w:ilvl="6" w:tplc="281C235E">
      <w:numFmt w:val="decimal"/>
      <w:lvlText w:val=""/>
      <w:lvlJc w:val="left"/>
    </w:lvl>
    <w:lvl w:ilvl="7" w:tplc="30208C1C">
      <w:numFmt w:val="decimal"/>
      <w:lvlText w:val=""/>
      <w:lvlJc w:val="left"/>
    </w:lvl>
    <w:lvl w:ilvl="8" w:tplc="A6407924">
      <w:numFmt w:val="decimal"/>
      <w:lvlText w:val=""/>
      <w:lvlJc w:val="left"/>
    </w:lvl>
  </w:abstractNum>
  <w:abstractNum w:abstractNumId="4">
    <w:nsid w:val="00002EA6"/>
    <w:multiLevelType w:val="hybridMultilevel"/>
    <w:tmpl w:val="99560EB4"/>
    <w:lvl w:ilvl="0" w:tplc="68D42DE0">
      <w:start w:val="1"/>
      <w:numFmt w:val="bullet"/>
      <w:lvlText w:val="&amp;"/>
      <w:lvlJc w:val="left"/>
    </w:lvl>
    <w:lvl w:ilvl="1" w:tplc="796C8B1E">
      <w:numFmt w:val="decimal"/>
      <w:lvlText w:val=""/>
      <w:lvlJc w:val="left"/>
    </w:lvl>
    <w:lvl w:ilvl="2" w:tplc="A1FCEB8C">
      <w:numFmt w:val="decimal"/>
      <w:lvlText w:val=""/>
      <w:lvlJc w:val="left"/>
    </w:lvl>
    <w:lvl w:ilvl="3" w:tplc="06924EDC">
      <w:numFmt w:val="decimal"/>
      <w:lvlText w:val=""/>
      <w:lvlJc w:val="left"/>
    </w:lvl>
    <w:lvl w:ilvl="4" w:tplc="E0B646D2">
      <w:numFmt w:val="decimal"/>
      <w:lvlText w:val=""/>
      <w:lvlJc w:val="left"/>
    </w:lvl>
    <w:lvl w:ilvl="5" w:tplc="53B81926">
      <w:numFmt w:val="decimal"/>
      <w:lvlText w:val=""/>
      <w:lvlJc w:val="left"/>
    </w:lvl>
    <w:lvl w:ilvl="6" w:tplc="319EE292">
      <w:numFmt w:val="decimal"/>
      <w:lvlText w:val=""/>
      <w:lvlJc w:val="left"/>
    </w:lvl>
    <w:lvl w:ilvl="7" w:tplc="A0125C22">
      <w:numFmt w:val="decimal"/>
      <w:lvlText w:val=""/>
      <w:lvlJc w:val="left"/>
    </w:lvl>
    <w:lvl w:ilvl="8" w:tplc="2048F56C">
      <w:numFmt w:val="decimal"/>
      <w:lvlText w:val=""/>
      <w:lvlJc w:val="left"/>
    </w:lvl>
  </w:abstractNum>
  <w:abstractNum w:abstractNumId="5">
    <w:nsid w:val="000041BB"/>
    <w:multiLevelType w:val="hybridMultilevel"/>
    <w:tmpl w:val="49E2F17A"/>
    <w:lvl w:ilvl="0" w:tplc="70A291D4">
      <w:start w:val="1"/>
      <w:numFmt w:val="bullet"/>
      <w:lvlText w:val=" "/>
      <w:lvlJc w:val="left"/>
    </w:lvl>
    <w:lvl w:ilvl="1" w:tplc="DDCC9F6A">
      <w:numFmt w:val="decimal"/>
      <w:lvlText w:val=""/>
      <w:lvlJc w:val="left"/>
    </w:lvl>
    <w:lvl w:ilvl="2" w:tplc="3996C04A">
      <w:numFmt w:val="decimal"/>
      <w:lvlText w:val=""/>
      <w:lvlJc w:val="left"/>
    </w:lvl>
    <w:lvl w:ilvl="3" w:tplc="72A0C9EC">
      <w:numFmt w:val="decimal"/>
      <w:lvlText w:val=""/>
      <w:lvlJc w:val="left"/>
    </w:lvl>
    <w:lvl w:ilvl="4" w:tplc="D956419C">
      <w:numFmt w:val="decimal"/>
      <w:lvlText w:val=""/>
      <w:lvlJc w:val="left"/>
    </w:lvl>
    <w:lvl w:ilvl="5" w:tplc="8DB6F316">
      <w:numFmt w:val="decimal"/>
      <w:lvlText w:val=""/>
      <w:lvlJc w:val="left"/>
    </w:lvl>
    <w:lvl w:ilvl="6" w:tplc="4100F086">
      <w:numFmt w:val="decimal"/>
      <w:lvlText w:val=""/>
      <w:lvlJc w:val="left"/>
    </w:lvl>
    <w:lvl w:ilvl="7" w:tplc="D118FAF0">
      <w:numFmt w:val="decimal"/>
      <w:lvlText w:val=""/>
      <w:lvlJc w:val="left"/>
    </w:lvl>
    <w:lvl w:ilvl="8" w:tplc="60D8C91E">
      <w:numFmt w:val="decimal"/>
      <w:lvlText w:val=""/>
      <w:lvlJc w:val="left"/>
    </w:lvl>
  </w:abstractNum>
  <w:abstractNum w:abstractNumId="6">
    <w:nsid w:val="00005AF1"/>
    <w:multiLevelType w:val="hybridMultilevel"/>
    <w:tmpl w:val="37ECBE66"/>
    <w:lvl w:ilvl="0" w:tplc="024C9218">
      <w:start w:val="1"/>
      <w:numFmt w:val="bullet"/>
      <w:lvlText w:val=" "/>
      <w:lvlJc w:val="left"/>
    </w:lvl>
    <w:lvl w:ilvl="1" w:tplc="36248AF4">
      <w:numFmt w:val="decimal"/>
      <w:lvlText w:val=""/>
      <w:lvlJc w:val="left"/>
    </w:lvl>
    <w:lvl w:ilvl="2" w:tplc="133EADB8">
      <w:numFmt w:val="decimal"/>
      <w:lvlText w:val=""/>
      <w:lvlJc w:val="left"/>
    </w:lvl>
    <w:lvl w:ilvl="3" w:tplc="14C05E8E">
      <w:numFmt w:val="decimal"/>
      <w:lvlText w:val=""/>
      <w:lvlJc w:val="left"/>
    </w:lvl>
    <w:lvl w:ilvl="4" w:tplc="F3EC45F4">
      <w:numFmt w:val="decimal"/>
      <w:lvlText w:val=""/>
      <w:lvlJc w:val="left"/>
    </w:lvl>
    <w:lvl w:ilvl="5" w:tplc="064043DA">
      <w:numFmt w:val="decimal"/>
      <w:lvlText w:val=""/>
      <w:lvlJc w:val="left"/>
    </w:lvl>
    <w:lvl w:ilvl="6" w:tplc="8F1EF868">
      <w:numFmt w:val="decimal"/>
      <w:lvlText w:val=""/>
      <w:lvlJc w:val="left"/>
    </w:lvl>
    <w:lvl w:ilvl="7" w:tplc="63121D9E">
      <w:numFmt w:val="decimal"/>
      <w:lvlText w:val=""/>
      <w:lvlJc w:val="left"/>
    </w:lvl>
    <w:lvl w:ilvl="8" w:tplc="9DA2BAA2">
      <w:numFmt w:val="decimal"/>
      <w:lvlText w:val=""/>
      <w:lvlJc w:val="left"/>
    </w:lvl>
  </w:abstractNum>
  <w:abstractNum w:abstractNumId="7">
    <w:nsid w:val="00005F90"/>
    <w:multiLevelType w:val="hybridMultilevel"/>
    <w:tmpl w:val="5F9E968E"/>
    <w:lvl w:ilvl="0" w:tplc="43D0EA00">
      <w:start w:val="1"/>
      <w:numFmt w:val="bullet"/>
      <w:lvlText w:val=" "/>
      <w:lvlJc w:val="left"/>
    </w:lvl>
    <w:lvl w:ilvl="1" w:tplc="83FCF02E">
      <w:numFmt w:val="decimal"/>
      <w:lvlText w:val=""/>
      <w:lvlJc w:val="left"/>
    </w:lvl>
    <w:lvl w:ilvl="2" w:tplc="BDA4C3EA">
      <w:numFmt w:val="decimal"/>
      <w:lvlText w:val=""/>
      <w:lvlJc w:val="left"/>
    </w:lvl>
    <w:lvl w:ilvl="3" w:tplc="7C9CCFDA">
      <w:numFmt w:val="decimal"/>
      <w:lvlText w:val=""/>
      <w:lvlJc w:val="left"/>
    </w:lvl>
    <w:lvl w:ilvl="4" w:tplc="8DD8FE52">
      <w:numFmt w:val="decimal"/>
      <w:lvlText w:val=""/>
      <w:lvlJc w:val="left"/>
    </w:lvl>
    <w:lvl w:ilvl="5" w:tplc="54466D28">
      <w:numFmt w:val="decimal"/>
      <w:lvlText w:val=""/>
      <w:lvlJc w:val="left"/>
    </w:lvl>
    <w:lvl w:ilvl="6" w:tplc="2EDE3F9A">
      <w:numFmt w:val="decimal"/>
      <w:lvlText w:val=""/>
      <w:lvlJc w:val="left"/>
    </w:lvl>
    <w:lvl w:ilvl="7" w:tplc="867E2482">
      <w:numFmt w:val="decimal"/>
      <w:lvlText w:val=""/>
      <w:lvlJc w:val="left"/>
    </w:lvl>
    <w:lvl w:ilvl="8" w:tplc="0D56F998">
      <w:numFmt w:val="decimal"/>
      <w:lvlText w:val=""/>
      <w:lvlJc w:val="left"/>
    </w:lvl>
  </w:abstractNum>
  <w:abstractNum w:abstractNumId="8">
    <w:nsid w:val="00006DF1"/>
    <w:multiLevelType w:val="hybridMultilevel"/>
    <w:tmpl w:val="CFBABB56"/>
    <w:lvl w:ilvl="0" w:tplc="410CF7FC">
      <w:start w:val="1"/>
      <w:numFmt w:val="bullet"/>
      <w:lvlText w:val=" "/>
      <w:lvlJc w:val="left"/>
    </w:lvl>
    <w:lvl w:ilvl="1" w:tplc="126E4F42">
      <w:numFmt w:val="decimal"/>
      <w:lvlText w:val=""/>
      <w:lvlJc w:val="left"/>
    </w:lvl>
    <w:lvl w:ilvl="2" w:tplc="16A2AFB4">
      <w:numFmt w:val="decimal"/>
      <w:lvlText w:val=""/>
      <w:lvlJc w:val="left"/>
    </w:lvl>
    <w:lvl w:ilvl="3" w:tplc="26A03328">
      <w:numFmt w:val="decimal"/>
      <w:lvlText w:val=""/>
      <w:lvlJc w:val="left"/>
    </w:lvl>
    <w:lvl w:ilvl="4" w:tplc="CC22E6FC">
      <w:numFmt w:val="decimal"/>
      <w:lvlText w:val=""/>
      <w:lvlJc w:val="left"/>
    </w:lvl>
    <w:lvl w:ilvl="5" w:tplc="DEAAA5A4">
      <w:numFmt w:val="decimal"/>
      <w:lvlText w:val=""/>
      <w:lvlJc w:val="left"/>
    </w:lvl>
    <w:lvl w:ilvl="6" w:tplc="0BCA9B08">
      <w:numFmt w:val="decimal"/>
      <w:lvlText w:val=""/>
      <w:lvlJc w:val="left"/>
    </w:lvl>
    <w:lvl w:ilvl="7" w:tplc="328A59CA">
      <w:numFmt w:val="decimal"/>
      <w:lvlText w:val=""/>
      <w:lvlJc w:val="left"/>
    </w:lvl>
    <w:lvl w:ilvl="8" w:tplc="28E8C744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883"/>
    <w:rsid w:val="00281883"/>
    <w:rsid w:val="002B3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nish-39296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2019-08-03T09:57:00Z</dcterms:created>
  <dcterms:modified xsi:type="dcterms:W3CDTF">2019-08-03T09:57:00Z</dcterms:modified>
</cp:coreProperties>
</file>