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Default="004A57A3">
      <w:pPr>
        <w:ind w:left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VIBHAVARI</w:t>
      </w: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Email: </w:t>
      </w:r>
      <w:hyperlink r:id="rId5" w:history="1">
        <w:r w:rsidRPr="00184A6A">
          <w:rPr>
            <w:rStyle w:val="Hyperlink"/>
            <w:rFonts w:ascii="Arial" w:eastAsia="Arial" w:hAnsi="Arial" w:cs="Arial"/>
            <w:b/>
            <w:bCs/>
          </w:rPr>
          <w:t>vibhavari-396830@gulfjobseeker.com</w:t>
        </w:r>
      </w:hyperlink>
      <w:r>
        <w:rPr>
          <w:rFonts w:ascii="Arial" w:eastAsia="Arial" w:hAnsi="Arial" w:cs="Arial"/>
          <w:b/>
          <w:bCs/>
          <w:color w:val="0000FF"/>
          <w:u w:val="single"/>
        </w:rPr>
        <w:t xml:space="preserve"> </w:t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393" w:lineRule="exact"/>
        <w:rPr>
          <w:sz w:val="24"/>
          <w:szCs w:val="24"/>
        </w:rPr>
      </w:pPr>
    </w:p>
    <w:p w:rsidR="00505D42" w:rsidRDefault="004A57A3">
      <w:pPr>
        <w:tabs>
          <w:tab w:val="left" w:pos="340"/>
        </w:tabs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CURRICULUM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VITAE</w:t>
      </w:r>
    </w:p>
    <w:p w:rsidR="00505D42" w:rsidRDefault="004A57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177800</wp:posOffset>
            </wp:positionV>
            <wp:extent cx="552386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336" w:lineRule="exact"/>
        <w:rPr>
          <w:sz w:val="24"/>
          <w:szCs w:val="24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505D42" w:rsidRDefault="00505D42">
      <w:pPr>
        <w:spacing w:line="264" w:lineRule="exact"/>
        <w:rPr>
          <w:sz w:val="24"/>
          <w:szCs w:val="24"/>
        </w:rPr>
      </w:pPr>
    </w:p>
    <w:p w:rsidR="00505D42" w:rsidRDefault="004A57A3">
      <w:pPr>
        <w:spacing w:line="237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envisage myself to be part of an organization whose activities include a wide range of services in the field of </w:t>
      </w:r>
      <w:r>
        <w:rPr>
          <w:rFonts w:ascii="Arial" w:eastAsia="Arial" w:hAnsi="Arial" w:cs="Arial"/>
        </w:rPr>
        <w:t>Financial Institutions. I wish to be in a position that enables me to make a significant contribution to the organizational growth out of the professional experience and knowledge which I have gained over the years and add value to my job.</w:t>
      </w:r>
    </w:p>
    <w:p w:rsidR="00505D42" w:rsidRDefault="004A57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179070</wp:posOffset>
            </wp:positionV>
            <wp:extent cx="55238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337" w:lineRule="exact"/>
        <w:rPr>
          <w:sz w:val="24"/>
          <w:szCs w:val="24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</w:t>
      </w:r>
      <w:r>
        <w:rPr>
          <w:rFonts w:ascii="Arial" w:eastAsia="Arial" w:hAnsi="Arial" w:cs="Arial"/>
          <w:b/>
          <w:bCs/>
        </w:rPr>
        <w:t xml:space="preserve"> Experience</w:t>
      </w:r>
    </w:p>
    <w:p w:rsidR="00505D42" w:rsidRDefault="00505D42">
      <w:pPr>
        <w:spacing w:line="262" w:lineRule="exact"/>
        <w:rPr>
          <w:sz w:val="24"/>
          <w:szCs w:val="24"/>
        </w:rPr>
      </w:pPr>
    </w:p>
    <w:p w:rsidR="00505D42" w:rsidRDefault="004A57A3">
      <w:pPr>
        <w:spacing w:line="236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 years in Exchange house heading Back Office Operations Department, Process Improvement &amp; Documentation, system designing, and Banking Relations.</w:t>
      </w:r>
    </w:p>
    <w:p w:rsidR="00505D42" w:rsidRDefault="00505D42">
      <w:pPr>
        <w:spacing w:line="261" w:lineRule="exact"/>
        <w:rPr>
          <w:sz w:val="24"/>
          <w:szCs w:val="24"/>
        </w:rPr>
      </w:pPr>
    </w:p>
    <w:p w:rsidR="00505D42" w:rsidRDefault="004A57A3">
      <w:pPr>
        <w:spacing w:line="237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12 Years of Banking Experience in various departments such as Relationship Management, Retail </w:t>
      </w:r>
      <w:r>
        <w:rPr>
          <w:rFonts w:ascii="Arial" w:eastAsia="Arial" w:hAnsi="Arial" w:cs="Arial"/>
          <w:b/>
          <w:bCs/>
        </w:rPr>
        <w:t>Liability, Retail Branch Banking, Retails Operations, Selling of Mutual Fund &amp; Bonds.</w:t>
      </w:r>
    </w:p>
    <w:p w:rsidR="00505D42" w:rsidRDefault="004A57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179070</wp:posOffset>
            </wp:positionV>
            <wp:extent cx="552386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392" w:lineRule="exact"/>
        <w:rPr>
          <w:sz w:val="24"/>
          <w:szCs w:val="24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Achievements –</w:t>
      </w:r>
    </w:p>
    <w:p w:rsidR="00505D42" w:rsidRDefault="00505D42">
      <w:pPr>
        <w:spacing w:line="16" w:lineRule="exact"/>
        <w:rPr>
          <w:sz w:val="24"/>
          <w:szCs w:val="24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EFQM (European Quality Foundation Management) Assessor</w:t>
      </w:r>
    </w:p>
    <w:p w:rsidR="00505D42" w:rsidRDefault="00505D42">
      <w:pPr>
        <w:spacing w:line="1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spacing w:line="180" w:lineRule="auto"/>
        <w:ind w:left="1080" w:right="3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Successfully established UAEFTS 3.0 facilitate by Central Bank in our organisation.</w:t>
      </w:r>
    </w:p>
    <w:p w:rsidR="00505D42" w:rsidRDefault="00505D42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Successfully developed WPS Automation in our Organisation.</w:t>
      </w:r>
    </w:p>
    <w:p w:rsidR="00505D42" w:rsidRDefault="00505D42">
      <w:pPr>
        <w:spacing w:line="1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Successfully launched WPS Online Portal.</w:t>
      </w:r>
    </w:p>
    <w:p w:rsidR="00505D42" w:rsidRDefault="00505D42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Successfully developed API with partner Banks for processing Remittance</w:t>
      </w:r>
    </w:p>
    <w:p w:rsidR="00505D42" w:rsidRDefault="00505D42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505D42" w:rsidRDefault="004A57A3">
      <w:pPr>
        <w:numPr>
          <w:ilvl w:val="0"/>
          <w:numId w:val="1"/>
        </w:numPr>
        <w:tabs>
          <w:tab w:val="left" w:pos="1080"/>
        </w:tabs>
        <w:spacing w:line="180" w:lineRule="auto"/>
        <w:ind w:left="1080" w:righ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Passed </w:t>
      </w:r>
      <w:r>
        <w:rPr>
          <w:rFonts w:ascii="Arial" w:eastAsia="Arial" w:hAnsi="Arial" w:cs="Arial"/>
          <w:b/>
          <w:bCs/>
        </w:rPr>
        <w:t>(DEMAT)</w:t>
      </w:r>
      <w:r>
        <w:rPr>
          <w:rFonts w:ascii="Arial" w:eastAsia="Arial" w:hAnsi="Arial" w:cs="Arial"/>
          <w:sz w:val="21"/>
          <w:szCs w:val="21"/>
        </w:rPr>
        <w:t xml:space="preserve"> exam of </w:t>
      </w:r>
      <w:r>
        <w:rPr>
          <w:rFonts w:ascii="Arial" w:eastAsia="Arial" w:hAnsi="Arial" w:cs="Arial"/>
          <w:b/>
          <w:bCs/>
          <w:sz w:val="21"/>
          <w:szCs w:val="21"/>
        </w:rPr>
        <w:t>National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</w:rPr>
        <w:t>Securities Depository Limited</w:t>
      </w:r>
      <w:r>
        <w:rPr>
          <w:rFonts w:ascii="Arial" w:eastAsia="Arial" w:hAnsi="Arial" w:cs="Arial"/>
          <w:sz w:val="21"/>
          <w:szCs w:val="21"/>
        </w:rPr>
        <w:t xml:space="preserve"> with First Class.</w:t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358" w:lineRule="exact"/>
        <w:rPr>
          <w:sz w:val="24"/>
          <w:szCs w:val="24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Manager Processes /Back Office Operations 2018 till date</w:t>
      </w:r>
    </w:p>
    <w:p w:rsidR="00505D42" w:rsidRDefault="004A57A3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Incharge WPS &amp; Remittance Dept 2014 till 2018</w:t>
      </w:r>
    </w:p>
    <w:p w:rsidR="00505D42" w:rsidRDefault="00505D42">
      <w:pPr>
        <w:spacing w:line="2" w:lineRule="exact"/>
        <w:rPr>
          <w:sz w:val="24"/>
          <w:szCs w:val="24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Supervisor WPS 2012 till 2014</w:t>
      </w: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Business Coordinator 2010 till 2012</w:t>
      </w: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00" w:lineRule="exact"/>
        <w:rPr>
          <w:sz w:val="24"/>
          <w:szCs w:val="24"/>
        </w:rPr>
      </w:pPr>
    </w:p>
    <w:p w:rsidR="00505D42" w:rsidRDefault="00505D42">
      <w:pPr>
        <w:spacing w:line="215" w:lineRule="exact"/>
        <w:rPr>
          <w:sz w:val="24"/>
          <w:szCs w:val="24"/>
        </w:rPr>
      </w:pPr>
    </w:p>
    <w:p w:rsidR="00505D42" w:rsidRDefault="004A57A3">
      <w:pPr>
        <w:ind w:left="79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Page </w:t>
      </w:r>
      <w:r>
        <w:rPr>
          <w:rFonts w:ascii="Verdana" w:eastAsia="Verdana" w:hAnsi="Verdana" w:cs="Verdana"/>
          <w:b/>
          <w:bCs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 of 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</w:p>
    <w:p w:rsidR="00505D42" w:rsidRDefault="00505D42">
      <w:pPr>
        <w:sectPr w:rsidR="00505D42">
          <w:pgSz w:w="12240" w:h="15840"/>
          <w:pgMar w:top="1310" w:right="1440" w:bottom="429" w:left="1440" w:header="0" w:footer="0" w:gutter="0"/>
          <w:cols w:space="720" w:equalWidth="0">
            <w:col w:w="9360"/>
          </w:cols>
        </w:sect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Responsibilities</w:t>
      </w:r>
    </w:p>
    <w:p w:rsidR="00505D42" w:rsidRDefault="00505D42">
      <w:pPr>
        <w:spacing w:line="254" w:lineRule="exact"/>
        <w:rPr>
          <w:sz w:val="20"/>
          <w:szCs w:val="20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Process </w:t>
      </w:r>
      <w:r>
        <w:rPr>
          <w:rFonts w:ascii="Arial" w:eastAsia="Arial" w:hAnsi="Arial" w:cs="Arial"/>
        </w:rPr>
        <w:t>Improvement and Documentation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Delivery of Projects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28" w:lineRule="auto"/>
        <w:ind w:left="108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Remittance &amp; WPS function, monitor employee performance and enhance employee productivity.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Managing Offshore shared service centre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and enhance relationship with all Banks &amp; business partners</w:t>
      </w:r>
      <w:r>
        <w:rPr>
          <w:rFonts w:ascii="Arial" w:eastAsia="Arial" w:hAnsi="Arial" w:cs="Arial"/>
        </w:rPr>
        <w:t>.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Closely work with the Business Development team to develop strategic business partnership with potential customers and to increase WPS business volume.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Provide strategic support to regain lost customers.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28" w:lineRule="auto"/>
        <w:ind w:left="108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Effectively coordinate with Central Bank for </w:t>
      </w:r>
      <w:r>
        <w:rPr>
          <w:rFonts w:ascii="Arial" w:eastAsia="Arial" w:hAnsi="Arial" w:cs="Arial"/>
        </w:rPr>
        <w:t>FTS, WPS and all other systems related to Central Bank.</w:t>
      </w:r>
    </w:p>
    <w:p w:rsidR="00505D42" w:rsidRDefault="00505D42">
      <w:pPr>
        <w:spacing w:line="25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51" w:lineRule="auto"/>
        <w:ind w:left="1080" w:right="9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bank funding, ensure sufficient balance in all corresponding banks accounts and ensure accuracy of information provided.</w:t>
      </w:r>
    </w:p>
    <w:p w:rsidR="00505D42" w:rsidRDefault="00505D42">
      <w:pPr>
        <w:spacing w:line="48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Lead the launching of new products and services and provide updates to</w:t>
      </w:r>
      <w:r>
        <w:rPr>
          <w:rFonts w:ascii="Arial" w:eastAsia="Arial" w:hAnsi="Arial" w:cs="Arial"/>
        </w:rPr>
        <w:t xml:space="preserve"> all team members on products, promotions, regulations and guidelines.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Continuously enhance systems as per business requirements and market trends.</w:t>
      </w: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and ensure bank release is done as per the cut off time and schedule.</w:t>
      </w:r>
    </w:p>
    <w:p w:rsidR="00505D42" w:rsidRDefault="00505D42">
      <w:pPr>
        <w:spacing w:line="59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54" w:lineRule="auto"/>
        <w:ind w:left="1080" w:right="6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and ensure that the ban</w:t>
      </w:r>
      <w:r>
        <w:rPr>
          <w:rFonts w:ascii="Arial" w:eastAsia="Arial" w:hAnsi="Arial" w:cs="Arial"/>
        </w:rPr>
        <w:t>k and money products reconciliation has done as per the required schedule.</w:t>
      </w:r>
    </w:p>
    <w:p w:rsidR="00505D42" w:rsidRDefault="00505D42">
      <w:pPr>
        <w:spacing w:line="19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Western Union process.</w:t>
      </w:r>
    </w:p>
    <w:p w:rsidR="00505D42" w:rsidRDefault="00505D42">
      <w:pPr>
        <w:spacing w:line="60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the processing of labour guarantee, credit card payments through Central Bank.</w:t>
      </w:r>
    </w:p>
    <w:p w:rsidR="00505D42" w:rsidRDefault="00505D42">
      <w:pPr>
        <w:spacing w:line="22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32" w:lineRule="auto"/>
        <w:ind w:left="1080" w:righ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Manage customer complaints, identify major reasons for </w:t>
      </w:r>
      <w:r>
        <w:rPr>
          <w:rFonts w:ascii="Arial" w:eastAsia="Arial" w:hAnsi="Arial" w:cs="Arial"/>
        </w:rPr>
        <w:t>customer complaints, develop solutions to reduce customer complaints and enhance customer satisfaction through effective coordination with branches and banks.</w:t>
      </w:r>
    </w:p>
    <w:p w:rsidR="00505D42" w:rsidRDefault="00505D42">
      <w:pPr>
        <w:spacing w:line="1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Provide MIS reports to Management with observations and recommendations.</w:t>
      </w:r>
    </w:p>
    <w:p w:rsidR="00505D42" w:rsidRDefault="00505D42">
      <w:pPr>
        <w:spacing w:line="6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67" w:lineRule="auto"/>
        <w:ind w:left="1080" w:right="8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Ensure all transaction</w:t>
      </w:r>
      <w:r>
        <w:rPr>
          <w:rFonts w:ascii="Arial" w:eastAsia="Arial" w:hAnsi="Arial" w:cs="Arial"/>
        </w:rPr>
        <w:t>s are processed as per compliance and in line with the AML procedures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505D42" w:rsidRDefault="00505D42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Provide MIS reports to Management with observations and recommendations.</w:t>
      </w:r>
    </w:p>
    <w:p w:rsidR="00505D42" w:rsidRDefault="00505D42">
      <w:pPr>
        <w:spacing w:line="60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51" w:lineRule="auto"/>
        <w:ind w:left="1080" w:right="6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Assign tasks to team members and monitor the level of controls and measures taken.</w:t>
      </w:r>
    </w:p>
    <w:p w:rsidR="00505D42" w:rsidRDefault="00505D42">
      <w:pPr>
        <w:spacing w:line="26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Provide guidance and </w:t>
      </w:r>
      <w:r>
        <w:rPr>
          <w:rFonts w:ascii="Arial" w:eastAsia="Arial" w:hAnsi="Arial" w:cs="Arial"/>
        </w:rPr>
        <w:t>ensure teamwork to create a highly engaged environment.</w:t>
      </w:r>
    </w:p>
    <w:p w:rsidR="00505D42" w:rsidRDefault="00505D42">
      <w:pPr>
        <w:spacing w:line="45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2"/>
        </w:numPr>
        <w:tabs>
          <w:tab w:val="left" w:pos="1080"/>
        </w:tabs>
        <w:spacing w:line="267" w:lineRule="auto"/>
        <w:ind w:left="1080" w:right="15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Continuously monitor employee performance and enhance employee productivity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71" w:lineRule="exact"/>
        <w:rPr>
          <w:sz w:val="20"/>
          <w:szCs w:val="20"/>
        </w:rPr>
      </w:pPr>
    </w:p>
    <w:p w:rsidR="00505D42" w:rsidRDefault="004A57A3">
      <w:pPr>
        <w:spacing w:line="237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Developed operational process and system for all new products introduced in our organisation like Credit Card Payments, </w:t>
      </w:r>
      <w:r>
        <w:rPr>
          <w:rFonts w:ascii="Arial" w:eastAsia="Arial" w:hAnsi="Arial" w:cs="Arial"/>
          <w:b/>
          <w:bCs/>
        </w:rPr>
        <w:t>Payroll card, Western Union Token system process.</w:t>
      </w: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383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Punjab &amp; Maharashtra Bank Ltd. Mumbai, India</w:t>
      </w:r>
    </w:p>
    <w:p w:rsidR="00505D42" w:rsidRDefault="00505D42">
      <w:pPr>
        <w:spacing w:line="264" w:lineRule="exact"/>
        <w:rPr>
          <w:sz w:val="20"/>
          <w:szCs w:val="20"/>
        </w:rPr>
      </w:pPr>
    </w:p>
    <w:p w:rsidR="00505D42" w:rsidRDefault="004A57A3">
      <w:pPr>
        <w:spacing w:line="235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Assistant Manager Branch Operations &amp; Marketing from August 2007 till September 2010.</w:t>
      </w:r>
    </w:p>
    <w:p w:rsidR="00505D42" w:rsidRDefault="00505D42">
      <w:pPr>
        <w:spacing w:line="255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December 1998 to July 2007 as Executive Branch Operations &amp; Marketing.</w:t>
      </w:r>
    </w:p>
    <w:p w:rsidR="00505D42" w:rsidRDefault="00505D42">
      <w:pPr>
        <w:spacing w:line="105" w:lineRule="exact"/>
        <w:rPr>
          <w:sz w:val="20"/>
          <w:szCs w:val="20"/>
        </w:rPr>
      </w:pPr>
    </w:p>
    <w:p w:rsidR="00505D42" w:rsidRDefault="004A57A3">
      <w:pPr>
        <w:ind w:left="79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Page </w:t>
      </w:r>
      <w:r>
        <w:rPr>
          <w:rFonts w:ascii="Verdana" w:eastAsia="Verdana" w:hAnsi="Verdana" w:cs="Verdana"/>
          <w:b/>
          <w:bCs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 of 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</w:p>
    <w:p w:rsidR="00505D42" w:rsidRDefault="00505D42">
      <w:pPr>
        <w:sectPr w:rsidR="00505D42">
          <w:pgSz w:w="12240" w:h="15840"/>
          <w:pgMar w:top="1057" w:right="1440" w:bottom="429" w:left="1440" w:header="0" w:footer="0" w:gutter="0"/>
          <w:cols w:space="720" w:equalWidth="0">
            <w:col w:w="9360"/>
          </w:cols>
        </w:sect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Responsibilities</w:t>
      </w:r>
    </w:p>
    <w:p w:rsidR="00505D42" w:rsidRDefault="00505D42">
      <w:pPr>
        <w:spacing w:line="253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Retail Operations</w:t>
      </w:r>
      <w:r>
        <w:rPr>
          <w:rFonts w:ascii="Arial" w:eastAsia="Arial" w:hAnsi="Arial" w:cs="Arial"/>
          <w:b/>
          <w:bCs/>
        </w:rPr>
        <w:t>:</w:t>
      </w:r>
    </w:p>
    <w:p w:rsidR="00505D42" w:rsidRDefault="00505D42">
      <w:pPr>
        <w:spacing w:line="279" w:lineRule="exact"/>
        <w:rPr>
          <w:sz w:val="20"/>
          <w:szCs w:val="20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60" w:hanging="360"/>
        <w:jc w:val="both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 xml:space="preserve">Developing and Managing the day to day functions of the Branch such as liability &amp; asset management, cash management inward and outward clearing, Post Dated Cheque management, Outward and </w:t>
      </w:r>
      <w:r>
        <w:rPr>
          <w:rFonts w:ascii="Arial" w:eastAsia="Arial" w:hAnsi="Arial" w:cs="Arial"/>
          <w:color w:val="323232"/>
        </w:rPr>
        <w:t>Local bills for collections, Foreign currency cheques management adhering to Anti Money Laundering issues &amp; KYC procedure</w:t>
      </w:r>
    </w:p>
    <w:p w:rsidR="00505D42" w:rsidRDefault="00505D42">
      <w:pPr>
        <w:spacing w:line="24" w:lineRule="exact"/>
        <w:rPr>
          <w:rFonts w:ascii="Symbol" w:eastAsia="Symbol" w:hAnsi="Symbol" w:cs="Symbol"/>
          <w:color w:val="323232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60" w:hanging="360"/>
        <w:jc w:val="both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 xml:space="preserve">Ensuring all controls, compliance, policies and procedures and reporting requirements are adhered to. Identifying strategic service </w:t>
      </w:r>
      <w:r>
        <w:rPr>
          <w:rFonts w:ascii="Arial" w:eastAsia="Arial" w:hAnsi="Arial" w:cs="Arial"/>
          <w:color w:val="323232"/>
        </w:rPr>
        <w:t>delivery issues and reflecting them in the operational plans with appropriate actions to address the issues</w:t>
      </w:r>
    </w:p>
    <w:p w:rsidR="00505D42" w:rsidRDefault="00505D42">
      <w:pPr>
        <w:spacing w:line="25" w:lineRule="exact"/>
        <w:rPr>
          <w:rFonts w:ascii="Symbol" w:eastAsia="Symbol" w:hAnsi="Symbol" w:cs="Symbol"/>
          <w:color w:val="323232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360" w:hanging="360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>Working closely with department manager to ensure that service delivered is top quality and that customer's needs are being attended to.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>Ensuring h</w:t>
      </w:r>
      <w:r>
        <w:rPr>
          <w:rFonts w:ascii="Arial" w:eastAsia="Arial" w:hAnsi="Arial" w:cs="Arial"/>
          <w:color w:val="323232"/>
        </w:rPr>
        <w:t>igh quality results under a low cost and low risk environment.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>Coaching and developing the staff Automating processes wherever possible.</w:t>
      </w:r>
    </w:p>
    <w:p w:rsidR="00505D42" w:rsidRDefault="00505D42">
      <w:pPr>
        <w:spacing w:line="24" w:lineRule="exact"/>
        <w:rPr>
          <w:rFonts w:ascii="Symbol" w:eastAsia="Symbol" w:hAnsi="Symbol" w:cs="Symbol"/>
          <w:color w:val="323232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Identify weaknesses in the effectiveness of controls and key processes within Branch and provide appropriate </w:t>
      </w:r>
      <w:r>
        <w:rPr>
          <w:rFonts w:ascii="Arial" w:eastAsia="Arial" w:hAnsi="Arial" w:cs="Arial"/>
        </w:rPr>
        <w:t>recommendations for improvement to minimize risk and safeguard bank’s assets without compromising service levels &amp; Service Level Agreements.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monitor, reconcile, track GL lines of sensitive nature (sundry accounts / transitory accounts / suspense accoun</w:t>
      </w:r>
      <w:r>
        <w:rPr>
          <w:rFonts w:ascii="Arial" w:eastAsia="Arial" w:hAnsi="Arial" w:cs="Arial"/>
        </w:rPr>
        <w:t>ts) to ensure compliance with policy &amp; procedures. Decide on system solutions to achieve operational uniformity and functional objectives.</w:t>
      </w:r>
    </w:p>
    <w:p w:rsidR="00505D42" w:rsidRDefault="00505D42">
      <w:pPr>
        <w:spacing w:line="22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29" w:lineRule="auto"/>
        <w:ind w:left="72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exceptions/deviations by processing units and ensure early closure and regularization.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 track of all ope</w:t>
      </w:r>
      <w:r>
        <w:rPr>
          <w:rFonts w:ascii="Arial" w:eastAsia="Arial" w:hAnsi="Arial" w:cs="Arial"/>
        </w:rPr>
        <w:t>n audit findings and ensure timely closure by the respective unit.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frequent reviews on sample basis to ensure policies &amp; procedures are complied with at all times and escalate wherever necessary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36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 an early warning mechanism to avoid surpris</w:t>
      </w:r>
      <w:r>
        <w:rPr>
          <w:rFonts w:ascii="Arial" w:eastAsia="Arial" w:hAnsi="Arial" w:cs="Arial"/>
        </w:rPr>
        <w:t>es in future. Provide independent appraisal of control risk and develop comprehensive plans to improve operational controls for the Branch on an on going basis</w:t>
      </w:r>
    </w:p>
    <w:p w:rsidR="00505D42" w:rsidRDefault="00505D42">
      <w:pPr>
        <w:spacing w:line="1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color w:val="323232"/>
        </w:rPr>
      </w:pPr>
      <w:r>
        <w:rPr>
          <w:rFonts w:ascii="Arial" w:eastAsia="Arial" w:hAnsi="Arial" w:cs="Arial"/>
          <w:color w:val="323232"/>
        </w:rPr>
        <w:t>Liaise with internal/external audit to ensure smooth pre/post audit.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Internal and External </w:t>
      </w:r>
      <w:r>
        <w:rPr>
          <w:rFonts w:ascii="Arial" w:eastAsia="Arial" w:hAnsi="Arial" w:cs="Arial"/>
        </w:rPr>
        <w:t>Remittances, Foreign Currency Transactions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Loan disbursement and process of recovery of loan instalments</w:t>
      </w:r>
    </w:p>
    <w:p w:rsidR="00505D42" w:rsidRDefault="00505D42">
      <w:pPr>
        <w:spacing w:line="25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29" w:lineRule="auto"/>
        <w:ind w:left="72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mortgage loan cheques i.e. safe keeping, retrieval and presentation of cheques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Local bill discounting, maintenance and reconciliation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ATM &amp; C</w:t>
      </w:r>
      <w:r>
        <w:rPr>
          <w:rFonts w:ascii="Arial" w:eastAsia="Arial" w:hAnsi="Arial" w:cs="Arial"/>
        </w:rPr>
        <w:t>heque Book Inventory balancing and control.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Submission of monthly, quarterly &amp; annually reports to head office.</w:t>
      </w:r>
    </w:p>
    <w:p w:rsidR="00505D42" w:rsidRDefault="00505D42">
      <w:pPr>
        <w:spacing w:line="24" w:lineRule="exact"/>
        <w:rPr>
          <w:rFonts w:ascii="Symbol" w:eastAsia="Symbol" w:hAnsi="Symbol" w:cs="Symbol"/>
        </w:rPr>
      </w:pP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3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Cross selling of Mutual funds, Life Insurance, Non-life Insurance offered by channel partners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Monitoring of Demat Accounts opened under NSDL &amp; </w:t>
      </w:r>
      <w:r>
        <w:rPr>
          <w:rFonts w:ascii="Arial" w:eastAsia="Arial" w:hAnsi="Arial" w:cs="Arial"/>
        </w:rPr>
        <w:t>CDSL Depository Authority</w:t>
      </w:r>
    </w:p>
    <w:p w:rsidR="00505D42" w:rsidRDefault="004A57A3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Marketing and selling of </w:t>
      </w:r>
      <w:r>
        <w:rPr>
          <w:rFonts w:ascii="Arial" w:eastAsia="Arial" w:hAnsi="Arial" w:cs="Arial"/>
          <w:b/>
          <w:bCs/>
        </w:rPr>
        <w:t>Mutual Funds, Bonds</w:t>
      </w: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360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J.N. Marshall Engg. Pvt. Ltd. Mumbai, India</w:t>
      </w:r>
    </w:p>
    <w:p w:rsidR="00505D42" w:rsidRDefault="00505D42">
      <w:pPr>
        <w:spacing w:line="256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Accounts Assistant from February 1996 till November 1998</w:t>
      </w:r>
    </w:p>
    <w:p w:rsidR="00505D42" w:rsidRDefault="00505D42">
      <w:pPr>
        <w:spacing w:line="352" w:lineRule="exact"/>
        <w:rPr>
          <w:sz w:val="20"/>
          <w:szCs w:val="20"/>
        </w:rPr>
      </w:pPr>
    </w:p>
    <w:p w:rsidR="00505D42" w:rsidRDefault="004A57A3">
      <w:pPr>
        <w:ind w:left="79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Page </w:t>
      </w:r>
      <w:r>
        <w:rPr>
          <w:rFonts w:ascii="Verdana" w:eastAsia="Verdana" w:hAnsi="Verdana" w:cs="Verdana"/>
          <w:b/>
          <w:bCs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 xml:space="preserve"> of 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</w:p>
    <w:p w:rsidR="00505D42" w:rsidRDefault="00505D42">
      <w:pPr>
        <w:sectPr w:rsidR="00505D42">
          <w:pgSz w:w="12240" w:h="15840"/>
          <w:pgMar w:top="1310" w:right="1440" w:bottom="429" w:left="1440" w:header="0" w:footer="0" w:gutter="0"/>
          <w:cols w:space="720" w:equalWidth="0">
            <w:col w:w="9360"/>
          </w:cols>
        </w:sect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Educational / Technical Qualifications</w:t>
      </w:r>
    </w:p>
    <w:p w:rsidR="00505D42" w:rsidRDefault="00505D42">
      <w:pPr>
        <w:spacing w:line="314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Bachelor of </w:t>
      </w:r>
      <w:r>
        <w:rPr>
          <w:rFonts w:ascii="Arial" w:eastAsia="Arial" w:hAnsi="Arial" w:cs="Arial"/>
        </w:rPr>
        <w:t>Arts (1994) from Bombay University</w:t>
      </w:r>
    </w:p>
    <w:p w:rsidR="00505D42" w:rsidRDefault="00505D42">
      <w:pPr>
        <w:spacing w:line="262" w:lineRule="exact"/>
        <w:rPr>
          <w:sz w:val="20"/>
          <w:szCs w:val="20"/>
        </w:rPr>
      </w:pPr>
    </w:p>
    <w:p w:rsidR="00505D42" w:rsidRDefault="004A57A3">
      <w:pPr>
        <w:spacing w:line="236" w:lineRule="auto"/>
        <w:ind w:left="360" w:right="360"/>
        <w:rPr>
          <w:sz w:val="20"/>
          <w:szCs w:val="20"/>
        </w:rPr>
      </w:pPr>
      <w:r>
        <w:rPr>
          <w:rFonts w:ascii="Arial" w:eastAsia="Arial" w:hAnsi="Arial" w:cs="Arial"/>
        </w:rPr>
        <w:t>Diploma in Computer applications dbase, Lotus, Wordstar, MS-Office. Banking software exposure – TBA, OMNI.</w:t>
      </w:r>
    </w:p>
    <w:p w:rsidR="00505D42" w:rsidRDefault="00505D42">
      <w:pPr>
        <w:spacing w:line="250" w:lineRule="exact"/>
        <w:rPr>
          <w:sz w:val="20"/>
          <w:szCs w:val="20"/>
        </w:rPr>
      </w:pPr>
    </w:p>
    <w:p w:rsidR="00505D42" w:rsidRDefault="004A57A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</w:rPr>
        <w:t>HOLDING UAE DRIVING LICENCE</w:t>
      </w: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560"/>
        <w:gridCol w:w="2740"/>
      </w:tblGrid>
      <w:tr w:rsidR="00505D42">
        <w:trPr>
          <w:trHeight w:val="253"/>
        </w:trPr>
        <w:tc>
          <w:tcPr>
            <w:tcW w:w="2000" w:type="dxa"/>
            <w:vAlign w:val="bottom"/>
          </w:tcPr>
          <w:p w:rsidR="00505D42" w:rsidRDefault="004A57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Details</w:t>
            </w:r>
          </w:p>
        </w:tc>
        <w:tc>
          <w:tcPr>
            <w:tcW w:w="560" w:type="dxa"/>
            <w:vAlign w:val="bottom"/>
          </w:tcPr>
          <w:p w:rsidR="00505D42" w:rsidRDefault="00505D4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505D42" w:rsidRDefault="00505D42">
            <w:pPr>
              <w:rPr>
                <w:sz w:val="21"/>
                <w:szCs w:val="21"/>
              </w:rPr>
            </w:pPr>
          </w:p>
        </w:tc>
      </w:tr>
      <w:tr w:rsidR="00505D42">
        <w:trPr>
          <w:trHeight w:val="506"/>
        </w:trPr>
        <w:tc>
          <w:tcPr>
            <w:tcW w:w="2000" w:type="dxa"/>
            <w:vAlign w:val="bottom"/>
          </w:tcPr>
          <w:p w:rsidR="00505D42" w:rsidRDefault="004A57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60" w:type="dxa"/>
            <w:vAlign w:val="bottom"/>
          </w:tcPr>
          <w:p w:rsidR="00505D42" w:rsidRDefault="004A57A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40" w:type="dxa"/>
            <w:vAlign w:val="bottom"/>
          </w:tcPr>
          <w:p w:rsidR="00505D42" w:rsidRDefault="004A57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505D42">
        <w:trPr>
          <w:trHeight w:val="255"/>
        </w:trPr>
        <w:tc>
          <w:tcPr>
            <w:tcW w:w="2000" w:type="dxa"/>
            <w:vAlign w:val="bottom"/>
          </w:tcPr>
          <w:p w:rsidR="00505D42" w:rsidRDefault="004A57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560" w:type="dxa"/>
            <w:vAlign w:val="bottom"/>
          </w:tcPr>
          <w:p w:rsidR="00505D42" w:rsidRDefault="004A57A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40" w:type="dxa"/>
            <w:vAlign w:val="bottom"/>
          </w:tcPr>
          <w:p w:rsidR="00505D42" w:rsidRDefault="004A57A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 xml:space="preserve">English, Hindi &amp; </w:t>
            </w:r>
            <w:r>
              <w:rPr>
                <w:rFonts w:ascii="Arial" w:eastAsia="Arial" w:hAnsi="Arial" w:cs="Arial"/>
                <w:w w:val="98"/>
              </w:rPr>
              <w:t>Marathi.</w:t>
            </w:r>
          </w:p>
        </w:tc>
      </w:tr>
      <w:tr w:rsidR="00505D42">
        <w:trPr>
          <w:trHeight w:val="252"/>
        </w:trPr>
        <w:tc>
          <w:tcPr>
            <w:tcW w:w="2000" w:type="dxa"/>
            <w:vAlign w:val="bottom"/>
          </w:tcPr>
          <w:p w:rsidR="00505D42" w:rsidRDefault="004A57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</w:t>
            </w:r>
          </w:p>
        </w:tc>
        <w:tc>
          <w:tcPr>
            <w:tcW w:w="560" w:type="dxa"/>
            <w:vAlign w:val="bottom"/>
          </w:tcPr>
          <w:p w:rsidR="00505D42" w:rsidRDefault="004A57A3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740" w:type="dxa"/>
            <w:vAlign w:val="bottom"/>
          </w:tcPr>
          <w:p w:rsidR="00505D42" w:rsidRDefault="004A57A3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Resident Visa</w:t>
            </w:r>
          </w:p>
        </w:tc>
      </w:tr>
    </w:tbl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00" w:lineRule="exact"/>
        <w:rPr>
          <w:sz w:val="20"/>
          <w:szCs w:val="20"/>
        </w:rPr>
      </w:pPr>
    </w:p>
    <w:p w:rsidR="00505D42" w:rsidRDefault="00505D42">
      <w:pPr>
        <w:spacing w:line="259" w:lineRule="exact"/>
        <w:rPr>
          <w:sz w:val="20"/>
          <w:szCs w:val="20"/>
        </w:rPr>
      </w:pPr>
    </w:p>
    <w:p w:rsidR="00505D42" w:rsidRDefault="004A57A3">
      <w:pPr>
        <w:ind w:right="360"/>
        <w:jc w:val="right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Page 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 of </w:t>
      </w:r>
      <w:r>
        <w:rPr>
          <w:rFonts w:ascii="Verdana" w:eastAsia="Verdana" w:hAnsi="Verdana" w:cs="Verdana"/>
          <w:b/>
          <w:bCs/>
          <w:sz w:val="18"/>
          <w:szCs w:val="18"/>
        </w:rPr>
        <w:t>4</w:t>
      </w:r>
    </w:p>
    <w:sectPr w:rsidR="00505D42" w:rsidSect="00505D42">
      <w:pgSz w:w="12240" w:h="15840"/>
      <w:pgMar w:top="805" w:right="1440" w:bottom="4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4A0D862"/>
    <w:lvl w:ilvl="0" w:tplc="A37C5436">
      <w:start w:val="1"/>
      <w:numFmt w:val="bullet"/>
      <w:lvlText w:val=""/>
      <w:lvlJc w:val="left"/>
    </w:lvl>
    <w:lvl w:ilvl="1" w:tplc="F27656DC">
      <w:numFmt w:val="decimal"/>
      <w:lvlText w:val=""/>
      <w:lvlJc w:val="left"/>
    </w:lvl>
    <w:lvl w:ilvl="2" w:tplc="CE90E80E">
      <w:numFmt w:val="decimal"/>
      <w:lvlText w:val=""/>
      <w:lvlJc w:val="left"/>
    </w:lvl>
    <w:lvl w:ilvl="3" w:tplc="E59C1BE6">
      <w:numFmt w:val="decimal"/>
      <w:lvlText w:val=""/>
      <w:lvlJc w:val="left"/>
    </w:lvl>
    <w:lvl w:ilvl="4" w:tplc="C3F8BCC6">
      <w:numFmt w:val="decimal"/>
      <w:lvlText w:val=""/>
      <w:lvlJc w:val="left"/>
    </w:lvl>
    <w:lvl w:ilvl="5" w:tplc="9F0062DC">
      <w:numFmt w:val="decimal"/>
      <w:lvlText w:val=""/>
      <w:lvlJc w:val="left"/>
    </w:lvl>
    <w:lvl w:ilvl="6" w:tplc="0894713A">
      <w:numFmt w:val="decimal"/>
      <w:lvlText w:val=""/>
      <w:lvlJc w:val="left"/>
    </w:lvl>
    <w:lvl w:ilvl="7" w:tplc="4A54EF0E">
      <w:numFmt w:val="decimal"/>
      <w:lvlText w:val=""/>
      <w:lvlJc w:val="left"/>
    </w:lvl>
    <w:lvl w:ilvl="8" w:tplc="B2F021E0">
      <w:numFmt w:val="decimal"/>
      <w:lvlText w:val=""/>
      <w:lvlJc w:val="left"/>
    </w:lvl>
  </w:abstractNum>
  <w:abstractNum w:abstractNumId="1">
    <w:nsid w:val="00003D6C"/>
    <w:multiLevelType w:val="hybridMultilevel"/>
    <w:tmpl w:val="D4D2102C"/>
    <w:lvl w:ilvl="0" w:tplc="CB762032">
      <w:start w:val="1"/>
      <w:numFmt w:val="bullet"/>
      <w:lvlText w:val=""/>
      <w:lvlJc w:val="left"/>
    </w:lvl>
    <w:lvl w:ilvl="1" w:tplc="667C14B6">
      <w:numFmt w:val="decimal"/>
      <w:lvlText w:val=""/>
      <w:lvlJc w:val="left"/>
    </w:lvl>
    <w:lvl w:ilvl="2" w:tplc="0D140320">
      <w:numFmt w:val="decimal"/>
      <w:lvlText w:val=""/>
      <w:lvlJc w:val="left"/>
    </w:lvl>
    <w:lvl w:ilvl="3" w:tplc="300C8526">
      <w:numFmt w:val="decimal"/>
      <w:lvlText w:val=""/>
      <w:lvlJc w:val="left"/>
    </w:lvl>
    <w:lvl w:ilvl="4" w:tplc="A032047A">
      <w:numFmt w:val="decimal"/>
      <w:lvlText w:val=""/>
      <w:lvlJc w:val="left"/>
    </w:lvl>
    <w:lvl w:ilvl="5" w:tplc="1578128C">
      <w:numFmt w:val="decimal"/>
      <w:lvlText w:val=""/>
      <w:lvlJc w:val="left"/>
    </w:lvl>
    <w:lvl w:ilvl="6" w:tplc="E9DE699A">
      <w:numFmt w:val="decimal"/>
      <w:lvlText w:val=""/>
      <w:lvlJc w:val="left"/>
    </w:lvl>
    <w:lvl w:ilvl="7" w:tplc="D5EECB18">
      <w:numFmt w:val="decimal"/>
      <w:lvlText w:val=""/>
      <w:lvlJc w:val="left"/>
    </w:lvl>
    <w:lvl w:ilvl="8" w:tplc="F8301324">
      <w:numFmt w:val="decimal"/>
      <w:lvlText w:val=""/>
      <w:lvlJc w:val="left"/>
    </w:lvl>
  </w:abstractNum>
  <w:abstractNum w:abstractNumId="2">
    <w:nsid w:val="000072AE"/>
    <w:multiLevelType w:val="hybridMultilevel"/>
    <w:tmpl w:val="E68AC06C"/>
    <w:lvl w:ilvl="0" w:tplc="8FEAA9AE">
      <w:start w:val="1"/>
      <w:numFmt w:val="bullet"/>
      <w:lvlText w:val=""/>
      <w:lvlJc w:val="left"/>
    </w:lvl>
    <w:lvl w:ilvl="1" w:tplc="27207FA6">
      <w:numFmt w:val="decimal"/>
      <w:lvlText w:val=""/>
      <w:lvlJc w:val="left"/>
    </w:lvl>
    <w:lvl w:ilvl="2" w:tplc="95EA9D3C">
      <w:numFmt w:val="decimal"/>
      <w:lvlText w:val=""/>
      <w:lvlJc w:val="left"/>
    </w:lvl>
    <w:lvl w:ilvl="3" w:tplc="827E973C">
      <w:numFmt w:val="decimal"/>
      <w:lvlText w:val=""/>
      <w:lvlJc w:val="left"/>
    </w:lvl>
    <w:lvl w:ilvl="4" w:tplc="3FB685D4">
      <w:numFmt w:val="decimal"/>
      <w:lvlText w:val=""/>
      <w:lvlJc w:val="left"/>
    </w:lvl>
    <w:lvl w:ilvl="5" w:tplc="AA224A4C">
      <w:numFmt w:val="decimal"/>
      <w:lvlText w:val=""/>
      <w:lvlJc w:val="left"/>
    </w:lvl>
    <w:lvl w:ilvl="6" w:tplc="C35A0512">
      <w:numFmt w:val="decimal"/>
      <w:lvlText w:val=""/>
      <w:lvlJc w:val="left"/>
    </w:lvl>
    <w:lvl w:ilvl="7" w:tplc="DD22E10A">
      <w:numFmt w:val="decimal"/>
      <w:lvlText w:val=""/>
      <w:lvlJc w:val="left"/>
    </w:lvl>
    <w:lvl w:ilvl="8" w:tplc="E6A023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5D42"/>
    <w:rsid w:val="004A57A3"/>
    <w:rsid w:val="0050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bhavari-396830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2020-06-18T09:20:00Z</dcterms:created>
  <dcterms:modified xsi:type="dcterms:W3CDTF">2020-06-18T09:20:00Z</dcterms:modified>
</cp:coreProperties>
</file>