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E1" w:rsidRDefault="00D466D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5660390</wp:posOffset>
            </wp:positionH>
            <wp:positionV relativeFrom="page">
              <wp:posOffset>448310</wp:posOffset>
            </wp:positionV>
            <wp:extent cx="1106170" cy="1179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BE1" w:rsidRDefault="00037BE1">
      <w:pPr>
        <w:spacing w:line="200" w:lineRule="exact"/>
        <w:rPr>
          <w:sz w:val="24"/>
          <w:szCs w:val="24"/>
        </w:rPr>
      </w:pPr>
    </w:p>
    <w:p w:rsidR="00037BE1" w:rsidRDefault="00037BE1">
      <w:pPr>
        <w:spacing w:line="316" w:lineRule="exact"/>
        <w:rPr>
          <w:sz w:val="24"/>
          <w:szCs w:val="24"/>
        </w:rPr>
      </w:pPr>
    </w:p>
    <w:p w:rsidR="00037BE1" w:rsidRDefault="00D466D1">
      <w:pPr>
        <w:ind w:left="37"/>
        <w:rPr>
          <w:sz w:val="20"/>
          <w:szCs w:val="20"/>
        </w:rPr>
      </w:pPr>
      <w:r>
        <w:rPr>
          <w:rFonts w:ascii="Tw Cen MT Condensed Extra Bold" w:eastAsia="Tw Cen MT Condensed Extra Bold" w:hAnsi="Tw Cen MT Condensed Extra Bold" w:cs="Tw Cen MT Condensed Extra Bold"/>
          <w:b/>
          <w:bCs/>
          <w:color w:val="002060"/>
          <w:sz w:val="45"/>
          <w:szCs w:val="45"/>
        </w:rPr>
        <w:t xml:space="preserve">Thomas </w:t>
      </w:r>
    </w:p>
    <w:p w:rsidR="00037BE1" w:rsidRDefault="00037BE1">
      <w:pPr>
        <w:spacing w:line="23" w:lineRule="exact"/>
        <w:rPr>
          <w:sz w:val="24"/>
          <w:szCs w:val="24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920"/>
        <w:gridCol w:w="20"/>
      </w:tblGrid>
      <w:tr w:rsidR="00037BE1" w:rsidTr="00D466D1">
        <w:trPr>
          <w:trHeight w:val="253"/>
        </w:trPr>
        <w:tc>
          <w:tcPr>
            <w:tcW w:w="2720" w:type="dxa"/>
            <w:vAlign w:val="bottom"/>
          </w:tcPr>
          <w:p w:rsidR="00D466D1" w:rsidRDefault="00D466D1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vAlign w:val="bottom"/>
          </w:tcPr>
          <w:p w:rsidR="00037BE1" w:rsidRDefault="00D466D1">
            <w:pPr>
              <w:ind w:left="44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FFFFFF"/>
                <w:sz w:val="24"/>
                <w:szCs w:val="24"/>
              </w:rPr>
              <w:t>Commercial Management Profile</w:t>
            </w:r>
          </w:p>
        </w:tc>
        <w:tc>
          <w:tcPr>
            <w:tcW w:w="20" w:type="dxa"/>
            <w:vAlign w:val="bottom"/>
          </w:tcPr>
          <w:p w:rsidR="00037BE1" w:rsidRDefault="00037BE1">
            <w:pPr>
              <w:rPr>
                <w:sz w:val="1"/>
                <w:szCs w:val="1"/>
              </w:rPr>
            </w:pPr>
          </w:p>
        </w:tc>
      </w:tr>
      <w:tr w:rsidR="00037BE1" w:rsidTr="00D466D1">
        <w:trPr>
          <w:trHeight w:val="128"/>
        </w:trPr>
        <w:tc>
          <w:tcPr>
            <w:tcW w:w="2720" w:type="dxa"/>
            <w:vAlign w:val="bottom"/>
          </w:tcPr>
          <w:p w:rsidR="00037BE1" w:rsidRDefault="00037BE1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vAlign w:val="bottom"/>
          </w:tcPr>
          <w:p w:rsidR="00037BE1" w:rsidRDefault="00037BE1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37BE1" w:rsidRDefault="00037BE1">
            <w:pPr>
              <w:rPr>
                <w:sz w:val="1"/>
                <w:szCs w:val="1"/>
              </w:rPr>
            </w:pPr>
          </w:p>
        </w:tc>
      </w:tr>
    </w:tbl>
    <w:p w:rsidR="00037BE1" w:rsidRDefault="00037B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05pt;margin-top:-14.95pt;width:493.65pt;height:14.95pt;z-index:-251658240;visibility:visible;mso-wrap-distance-left:0;mso-wrap-distance-right:0;mso-position-horizontal-relative:text;mso-position-vertical-relative:text" o:allowincell="f" fillcolor="#002060" stroked="f"/>
        </w:pict>
      </w:r>
    </w:p>
    <w:p w:rsidR="00037BE1" w:rsidRDefault="00037BE1">
      <w:pPr>
        <w:spacing w:line="161" w:lineRule="exact"/>
        <w:rPr>
          <w:sz w:val="24"/>
          <w:szCs w:val="24"/>
        </w:rPr>
      </w:pPr>
    </w:p>
    <w:p w:rsidR="00037BE1" w:rsidRDefault="00D466D1">
      <w:pPr>
        <w:spacing w:line="238" w:lineRule="auto"/>
        <w:ind w:left="37" w:right="80"/>
        <w:jc w:val="both"/>
        <w:rPr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 xml:space="preserve">Senior professional with over 17 years of experience in managing Shipping &amp; documentation, </w:t>
      </w:r>
      <w:r>
        <w:rPr>
          <w:rFonts w:ascii="Candara" w:eastAsia="Candara" w:hAnsi="Candara" w:cs="Candara"/>
          <w:sz w:val="19"/>
          <w:szCs w:val="19"/>
        </w:rPr>
        <w:t>Letter of credit operations. Proficient in preparation of Export Documents to shipping &amp; Bank for negotiation. Exploring challenging assignments with a professionally managed organization</w:t>
      </w:r>
    </w:p>
    <w:p w:rsidR="00037BE1" w:rsidRDefault="00037BE1">
      <w:pPr>
        <w:spacing w:line="322" w:lineRule="exact"/>
        <w:rPr>
          <w:sz w:val="24"/>
          <w:szCs w:val="24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1160"/>
        <w:gridCol w:w="5180"/>
      </w:tblGrid>
      <w:tr w:rsidR="00037BE1">
        <w:trPr>
          <w:trHeight w:val="309"/>
        </w:trPr>
        <w:tc>
          <w:tcPr>
            <w:tcW w:w="2580" w:type="dxa"/>
            <w:vAlign w:val="bottom"/>
          </w:tcPr>
          <w:p w:rsidR="00037BE1" w:rsidRDefault="00D466D1">
            <w:pPr>
              <w:ind w:left="740"/>
              <w:rPr>
                <w:sz w:val="20"/>
                <w:szCs w:val="20"/>
              </w:rPr>
            </w:pPr>
            <w:r>
              <w:rPr>
                <w:rFonts w:ascii="Tw Cen MT Condensed Extra Bold" w:eastAsia="Tw Cen MT Condensed Extra Bold" w:hAnsi="Tw Cen MT Condensed Extra Bold" w:cs="Tw Cen MT Condensed Extra Bold"/>
                <w:b/>
                <w:bCs/>
                <w:sz w:val="24"/>
                <w:szCs w:val="24"/>
              </w:rPr>
              <w:t>Expertise in</w:t>
            </w:r>
          </w:p>
        </w:tc>
        <w:tc>
          <w:tcPr>
            <w:tcW w:w="1160" w:type="dxa"/>
            <w:vAlign w:val="bottom"/>
          </w:tcPr>
          <w:p w:rsidR="00037BE1" w:rsidRDefault="00037BE1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037BE1" w:rsidRDefault="00D466D1">
            <w:pPr>
              <w:ind w:left="1700"/>
              <w:rPr>
                <w:sz w:val="20"/>
                <w:szCs w:val="20"/>
              </w:rPr>
            </w:pPr>
            <w:r>
              <w:rPr>
                <w:rFonts w:ascii="Tw Cen MT Condensed Extra Bold" w:eastAsia="Tw Cen MT Condensed Extra Bold" w:hAnsi="Tw Cen MT Condensed Extra Bold" w:cs="Tw Cen MT Condensed Extra Bold"/>
                <w:b/>
                <w:bCs/>
                <w:sz w:val="24"/>
                <w:szCs w:val="24"/>
              </w:rPr>
              <w:t>Executive Summary</w:t>
            </w:r>
          </w:p>
        </w:tc>
      </w:tr>
      <w:tr w:rsidR="00037BE1">
        <w:trPr>
          <w:trHeight w:val="66"/>
        </w:trPr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37BE1" w:rsidRDefault="00037BE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037BE1" w:rsidRDefault="00037BE1">
            <w:pPr>
              <w:rPr>
                <w:sz w:val="5"/>
                <w:szCs w:val="5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037BE1" w:rsidRDefault="00037BE1">
            <w:pPr>
              <w:rPr>
                <w:sz w:val="5"/>
                <w:szCs w:val="5"/>
              </w:rPr>
            </w:pPr>
          </w:p>
        </w:tc>
      </w:tr>
    </w:tbl>
    <w:p w:rsidR="00037BE1" w:rsidRDefault="00D466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-220345</wp:posOffset>
            </wp:positionV>
            <wp:extent cx="2164715" cy="2848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284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BE1" w:rsidRDefault="00037BE1">
      <w:pPr>
        <w:sectPr w:rsidR="00037BE1">
          <w:pgSz w:w="12240" w:h="15840"/>
          <w:pgMar w:top="1440" w:right="1140" w:bottom="378" w:left="1183" w:header="0" w:footer="0" w:gutter="0"/>
          <w:cols w:space="720" w:equalWidth="0">
            <w:col w:w="9917"/>
          </w:cols>
        </w:sectPr>
      </w:pPr>
    </w:p>
    <w:p w:rsidR="00037BE1" w:rsidRDefault="00037BE1">
      <w:pPr>
        <w:spacing w:line="229" w:lineRule="exact"/>
        <w:rPr>
          <w:sz w:val="24"/>
          <w:szCs w:val="24"/>
        </w:rPr>
      </w:pPr>
    </w:p>
    <w:p w:rsidR="00037BE1" w:rsidRDefault="00D466D1">
      <w:pPr>
        <w:numPr>
          <w:ilvl w:val="0"/>
          <w:numId w:val="1"/>
        </w:numPr>
        <w:tabs>
          <w:tab w:val="left" w:pos="337"/>
        </w:tabs>
        <w:ind w:left="337" w:hanging="33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 xml:space="preserve">Import </w:t>
      </w:r>
      <w:r>
        <w:rPr>
          <w:rFonts w:ascii="Candara" w:eastAsia="Candara" w:hAnsi="Candara" w:cs="Candara"/>
          <w:sz w:val="19"/>
          <w:szCs w:val="19"/>
        </w:rPr>
        <w:t>Export</w:t>
      </w:r>
    </w:p>
    <w:p w:rsidR="00037BE1" w:rsidRDefault="00037BE1">
      <w:pPr>
        <w:spacing w:line="32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1"/>
        </w:numPr>
        <w:tabs>
          <w:tab w:val="left" w:pos="337"/>
        </w:tabs>
        <w:ind w:left="337" w:hanging="33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Shipping &amp; Logistics</w:t>
      </w:r>
    </w:p>
    <w:p w:rsidR="00037BE1" w:rsidRDefault="00037BE1">
      <w:pPr>
        <w:spacing w:line="32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1"/>
        </w:numPr>
        <w:tabs>
          <w:tab w:val="left" w:pos="337"/>
        </w:tabs>
        <w:ind w:left="337" w:hanging="33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Documentation &amp; Reporting</w:t>
      </w:r>
    </w:p>
    <w:p w:rsidR="00037BE1" w:rsidRDefault="00037BE1">
      <w:pPr>
        <w:spacing w:line="33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1"/>
        </w:numPr>
        <w:tabs>
          <w:tab w:val="left" w:pos="337"/>
        </w:tabs>
        <w:ind w:left="337" w:hanging="33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LC &amp; Payment Management</w:t>
      </w:r>
    </w:p>
    <w:p w:rsidR="00037BE1" w:rsidRDefault="00037BE1">
      <w:pPr>
        <w:spacing w:line="32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1"/>
        </w:numPr>
        <w:tabs>
          <w:tab w:val="left" w:pos="337"/>
        </w:tabs>
        <w:ind w:left="337" w:hanging="33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Contract Negotiations</w:t>
      </w:r>
    </w:p>
    <w:p w:rsidR="00037BE1" w:rsidRDefault="00037BE1">
      <w:pPr>
        <w:spacing w:line="32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1"/>
        </w:numPr>
        <w:tabs>
          <w:tab w:val="left" w:pos="337"/>
        </w:tabs>
        <w:ind w:left="337" w:hanging="33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Freight Management</w:t>
      </w:r>
    </w:p>
    <w:p w:rsidR="00037BE1" w:rsidRDefault="00037BE1">
      <w:pPr>
        <w:spacing w:line="32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1"/>
        </w:numPr>
        <w:tabs>
          <w:tab w:val="left" w:pos="337"/>
        </w:tabs>
        <w:ind w:left="337" w:hanging="33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Pre &amp; Post Shipment</w:t>
      </w:r>
    </w:p>
    <w:p w:rsidR="00037BE1" w:rsidRDefault="00037BE1">
      <w:pPr>
        <w:spacing w:line="32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1"/>
        </w:numPr>
        <w:tabs>
          <w:tab w:val="left" w:pos="337"/>
        </w:tabs>
        <w:ind w:left="337" w:hanging="33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Client Interaction</w:t>
      </w:r>
    </w:p>
    <w:p w:rsidR="00037BE1" w:rsidRDefault="00037BE1">
      <w:pPr>
        <w:spacing w:line="32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1"/>
        </w:numPr>
        <w:tabs>
          <w:tab w:val="left" w:pos="337"/>
        </w:tabs>
        <w:ind w:left="337" w:hanging="337"/>
        <w:rPr>
          <w:rFonts w:ascii="Webdings" w:eastAsia="Webdings" w:hAnsi="Webdings" w:cs="Webdings"/>
          <w:sz w:val="16"/>
          <w:szCs w:val="16"/>
        </w:rPr>
      </w:pPr>
      <w:r>
        <w:rPr>
          <w:rFonts w:ascii="Candara" w:eastAsia="Candara" w:hAnsi="Candara" w:cs="Candara"/>
          <w:sz w:val="18"/>
          <w:szCs w:val="18"/>
        </w:rPr>
        <w:t>Cross Functional Team Coordination</w:t>
      </w:r>
    </w:p>
    <w:p w:rsidR="00037BE1" w:rsidRDefault="00D466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37BE1" w:rsidRDefault="00037BE1">
      <w:pPr>
        <w:spacing w:line="210" w:lineRule="exact"/>
        <w:rPr>
          <w:sz w:val="24"/>
          <w:szCs w:val="24"/>
        </w:rPr>
      </w:pPr>
    </w:p>
    <w:p w:rsidR="00037BE1" w:rsidRDefault="00D466D1">
      <w:pPr>
        <w:numPr>
          <w:ilvl w:val="0"/>
          <w:numId w:val="2"/>
        </w:numPr>
        <w:tabs>
          <w:tab w:val="left" w:pos="346"/>
        </w:tabs>
        <w:spacing w:line="233" w:lineRule="auto"/>
        <w:ind w:left="346" w:right="40" w:hanging="346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Proven ability to handle Export / Import operations,</w:t>
      </w:r>
      <w:r>
        <w:rPr>
          <w:rFonts w:ascii="Candara" w:eastAsia="Candara" w:hAnsi="Candara" w:cs="Candara"/>
          <w:sz w:val="19"/>
          <w:szCs w:val="19"/>
        </w:rPr>
        <w:t xml:space="preserve"> very good experience in handling shipping &amp; documentation.</w:t>
      </w:r>
    </w:p>
    <w:p w:rsidR="00037BE1" w:rsidRDefault="00037BE1">
      <w:pPr>
        <w:spacing w:line="9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2"/>
        </w:numPr>
        <w:tabs>
          <w:tab w:val="left" w:pos="347"/>
        </w:tabs>
        <w:spacing w:line="235" w:lineRule="auto"/>
        <w:ind w:left="346" w:right="40" w:hanging="346"/>
        <w:jc w:val="both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 xml:space="preserve">Proven ability in facilitating buyers with workable export LC drafts for LC opening and negotiation of LC terms; liaise with various support teams in ensuring issuance &amp; scrutinizing of export </w:t>
      </w:r>
      <w:r>
        <w:rPr>
          <w:rFonts w:ascii="Candara" w:eastAsia="Candara" w:hAnsi="Candara" w:cs="Candara"/>
          <w:sz w:val="19"/>
          <w:szCs w:val="19"/>
        </w:rPr>
        <w:t>L/Cs, Bank Guarantees and Standby L/Cs received from customers</w:t>
      </w:r>
    </w:p>
    <w:p w:rsidR="00037BE1" w:rsidRDefault="00037BE1">
      <w:pPr>
        <w:spacing w:line="10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2"/>
        </w:numPr>
        <w:tabs>
          <w:tab w:val="left" w:pos="347"/>
        </w:tabs>
        <w:spacing w:line="235" w:lineRule="auto"/>
        <w:ind w:left="346" w:right="40" w:hanging="346"/>
        <w:jc w:val="both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Skilled in verification of transport documents, Inspection Certificates, Certificate of Origin, Storage Warrant, preparation, examination &amp; presentation of export L/C documents, documents on C</w:t>
      </w:r>
      <w:r>
        <w:rPr>
          <w:rFonts w:ascii="Candara" w:eastAsia="Candara" w:hAnsi="Candara" w:cs="Candara"/>
          <w:sz w:val="19"/>
          <w:szCs w:val="19"/>
        </w:rPr>
        <w:t>ollection basis and presentation to banks</w:t>
      </w:r>
    </w:p>
    <w:p w:rsidR="00037BE1" w:rsidRDefault="00037BE1">
      <w:pPr>
        <w:spacing w:line="10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2"/>
        </w:numPr>
        <w:tabs>
          <w:tab w:val="left" w:pos="347"/>
        </w:tabs>
        <w:spacing w:line="235" w:lineRule="auto"/>
        <w:ind w:left="346" w:right="40" w:hanging="346"/>
        <w:jc w:val="both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Adept at evaluating &amp; ensuring compliance to agreements pertaining to bank fees and charges as well as allocation of bank costs to the correct deals. Coordinate with accountants with regards to cash flow, syndicat</w:t>
      </w:r>
      <w:r>
        <w:rPr>
          <w:rFonts w:ascii="Candara" w:eastAsia="Candara" w:hAnsi="Candara" w:cs="Candara"/>
          <w:sz w:val="19"/>
          <w:szCs w:val="19"/>
        </w:rPr>
        <w:t>e bank loans, outstanding letter of credits and payments etc</w:t>
      </w:r>
    </w:p>
    <w:p w:rsidR="00037BE1" w:rsidRDefault="00037BE1">
      <w:pPr>
        <w:spacing w:line="9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2"/>
        </w:numPr>
        <w:tabs>
          <w:tab w:val="left" w:pos="346"/>
        </w:tabs>
        <w:spacing w:line="238" w:lineRule="auto"/>
        <w:ind w:left="346" w:right="40" w:hanging="346"/>
        <w:jc w:val="both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An effective communicator with excellent relationship building &amp; interpersonal skills. Strong analytical, problem solving &amp; organizational abilities. Possess a flexible &amp; detail oriented attitud</w:t>
      </w:r>
      <w:r>
        <w:rPr>
          <w:rFonts w:ascii="Candara" w:eastAsia="Candara" w:hAnsi="Candara" w:cs="Candara"/>
          <w:sz w:val="19"/>
          <w:szCs w:val="19"/>
        </w:rPr>
        <w:t>e</w:t>
      </w:r>
    </w:p>
    <w:p w:rsidR="00037BE1" w:rsidRDefault="00037BE1">
      <w:pPr>
        <w:spacing w:line="160" w:lineRule="exact"/>
        <w:rPr>
          <w:sz w:val="24"/>
          <w:szCs w:val="24"/>
        </w:rPr>
      </w:pPr>
    </w:p>
    <w:p w:rsidR="00037BE1" w:rsidRDefault="00037BE1">
      <w:pPr>
        <w:sectPr w:rsidR="00037BE1">
          <w:type w:val="continuous"/>
          <w:pgSz w:w="12240" w:h="15840"/>
          <w:pgMar w:top="1440" w:right="1140" w:bottom="378" w:left="1183" w:header="0" w:footer="0" w:gutter="0"/>
          <w:cols w:num="2" w:space="720" w:equalWidth="0">
            <w:col w:w="3197" w:space="214"/>
            <w:col w:w="6506"/>
          </w:cols>
        </w:sectPr>
      </w:pPr>
    </w:p>
    <w:p w:rsidR="00037BE1" w:rsidRDefault="00D466D1">
      <w:pPr>
        <w:ind w:right="43"/>
        <w:jc w:val="center"/>
        <w:rPr>
          <w:sz w:val="20"/>
          <w:szCs w:val="20"/>
        </w:rPr>
      </w:pPr>
      <w:r>
        <w:rPr>
          <w:rFonts w:ascii="Tw Cen MT Condensed Extra Bold" w:eastAsia="Tw Cen MT Condensed Extra Bold" w:hAnsi="Tw Cen MT Condensed Extra Bold" w:cs="Tw Cen MT Condensed Extra Bold"/>
          <w:b/>
          <w:bCs/>
          <w:sz w:val="24"/>
          <w:szCs w:val="24"/>
        </w:rPr>
        <w:lastRenderedPageBreak/>
        <w:t>Professional Experience</w:t>
      </w:r>
    </w:p>
    <w:p w:rsidR="00037BE1" w:rsidRDefault="00037B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168;visibility:visible;mso-wrap-distance-left:0;mso-wrap-distance-right:0" from="50.5pt,4.75pt" to="443.1pt,4.75pt" o:allowincell="f" strokeweight="1.86pt"/>
        </w:pict>
      </w:r>
    </w:p>
    <w:p w:rsidR="00037BE1" w:rsidRDefault="00037BE1">
      <w:pPr>
        <w:spacing w:line="312" w:lineRule="exact"/>
        <w:rPr>
          <w:sz w:val="24"/>
          <w:szCs w:val="24"/>
        </w:rPr>
      </w:pPr>
    </w:p>
    <w:p w:rsidR="00037BE1" w:rsidRDefault="00D466D1">
      <w:pPr>
        <w:ind w:right="43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19"/>
          <w:szCs w:val="19"/>
        </w:rPr>
        <w:t>Nov. 2017 onwards</w:t>
      </w:r>
    </w:p>
    <w:p w:rsidR="00037BE1" w:rsidRDefault="00037B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.05pt;margin-top:-10.85pt;width:493.6pt;height:11.45pt;z-index:-251657216;visibility:visible;mso-wrap-distance-left:0;mso-wrap-distance-right:0" o:allowincell="f" fillcolor="#002060" stroked="f"/>
        </w:pict>
      </w:r>
    </w:p>
    <w:p w:rsidR="00037BE1" w:rsidRDefault="00D466D1">
      <w:pPr>
        <w:ind w:right="43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3"/>
          <w:szCs w:val="23"/>
        </w:rPr>
        <w:t>Manager Operations / Shipping &amp; Documentation (expert)</w:t>
      </w:r>
    </w:p>
    <w:p w:rsidR="00037BE1" w:rsidRDefault="00037B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.05pt;margin-top:-13.75pt;width:493.65pt;height:13.75pt;z-index:-251656192;visibility:visible;mso-wrap-distance-left:0;mso-wrap-distance-right:0" o:allowincell="f" fillcolor="#dbe5f1" stroked="f"/>
        </w:pict>
      </w:r>
    </w:p>
    <w:p w:rsidR="00037BE1" w:rsidRDefault="00037BE1">
      <w:pPr>
        <w:spacing w:line="208" w:lineRule="exact"/>
        <w:rPr>
          <w:sz w:val="24"/>
          <w:szCs w:val="24"/>
        </w:rPr>
      </w:pPr>
    </w:p>
    <w:p w:rsidR="00037BE1" w:rsidRDefault="00D466D1">
      <w:pPr>
        <w:spacing w:line="238" w:lineRule="auto"/>
        <w:ind w:left="37"/>
        <w:jc w:val="both"/>
        <w:rPr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 xml:space="preserve">BUOY GROUP deals in various segments and have a mark its presence in more than 48 countries in the field of the </w:t>
      </w:r>
      <w:r>
        <w:rPr>
          <w:rFonts w:ascii="Candara" w:eastAsia="Candara" w:hAnsi="Candara" w:cs="Candara"/>
          <w:color w:val="261312"/>
          <w:sz w:val="19"/>
          <w:szCs w:val="19"/>
        </w:rPr>
        <w:t>Metals</w:t>
      </w:r>
      <w:r>
        <w:rPr>
          <w:rFonts w:ascii="Candara" w:eastAsia="Candara" w:hAnsi="Candara" w:cs="Candara"/>
          <w:sz w:val="19"/>
          <w:szCs w:val="19"/>
        </w:rPr>
        <w:t xml:space="preserve"> </w:t>
      </w:r>
      <w:r>
        <w:rPr>
          <w:rFonts w:ascii="Candara" w:eastAsia="Candara" w:hAnsi="Candara" w:cs="Candara"/>
          <w:color w:val="261312"/>
          <w:sz w:val="19"/>
          <w:szCs w:val="19"/>
        </w:rPr>
        <w:t>and Steel Industry specializing in Ferrous Scrap, Non‐ Ferrous , minerals (chrome &amp; manganese). Scrap like Stainless Steel Scrap, Aluminu</w:t>
      </w:r>
      <w:r>
        <w:rPr>
          <w:rFonts w:ascii="Candara" w:eastAsia="Candara" w:hAnsi="Candara" w:cs="Candara"/>
          <w:color w:val="261312"/>
          <w:sz w:val="19"/>
          <w:szCs w:val="19"/>
        </w:rPr>
        <w:t>m, Semi‐ Finished Steel like Slabs, Billets, Finished Steel like HR coils, CR Coils &amp; Galvanized Coils etc in both containers and break bulk containers</w:t>
      </w:r>
    </w:p>
    <w:p w:rsidR="00037BE1" w:rsidRDefault="00037BE1">
      <w:pPr>
        <w:spacing w:line="240" w:lineRule="exact"/>
        <w:rPr>
          <w:sz w:val="24"/>
          <w:szCs w:val="24"/>
        </w:rPr>
      </w:pPr>
    </w:p>
    <w:p w:rsidR="00037BE1" w:rsidRDefault="00D466D1">
      <w:pPr>
        <w:ind w:left="3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Accountabilities:</w:t>
      </w:r>
    </w:p>
    <w:p w:rsidR="00037BE1" w:rsidRDefault="00D466D1">
      <w:pPr>
        <w:numPr>
          <w:ilvl w:val="0"/>
          <w:numId w:val="3"/>
        </w:numPr>
        <w:tabs>
          <w:tab w:val="left" w:pos="377"/>
        </w:tabs>
        <w:spacing w:line="237" w:lineRule="auto"/>
        <w:ind w:left="37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Preparing Sales contracts commodity wise,</w:t>
      </w:r>
    </w:p>
    <w:p w:rsidR="00037BE1" w:rsidRDefault="00D466D1">
      <w:pPr>
        <w:numPr>
          <w:ilvl w:val="0"/>
          <w:numId w:val="3"/>
        </w:numPr>
        <w:tabs>
          <w:tab w:val="left" w:pos="377"/>
        </w:tabs>
        <w:spacing w:line="238" w:lineRule="auto"/>
        <w:ind w:left="37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Order allocation to Branch and follow‐up.</w:t>
      </w:r>
    </w:p>
    <w:p w:rsidR="00037BE1" w:rsidRDefault="00D466D1">
      <w:pPr>
        <w:numPr>
          <w:ilvl w:val="0"/>
          <w:numId w:val="3"/>
        </w:numPr>
        <w:tabs>
          <w:tab w:val="left" w:pos="377"/>
        </w:tabs>
        <w:spacing w:line="237" w:lineRule="auto"/>
        <w:ind w:left="37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Freight Negotiation with shipping lines &amp; arrange containers for loading.</w:t>
      </w:r>
    </w:p>
    <w:p w:rsidR="00037BE1" w:rsidRDefault="00D466D1">
      <w:pPr>
        <w:numPr>
          <w:ilvl w:val="0"/>
          <w:numId w:val="3"/>
        </w:numPr>
        <w:tabs>
          <w:tab w:val="left" w:pos="377"/>
        </w:tabs>
        <w:spacing w:line="238" w:lineRule="auto"/>
        <w:ind w:left="37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Communication with buyer &amp; seller for smooth Operations.</w:t>
      </w:r>
    </w:p>
    <w:p w:rsidR="00037BE1" w:rsidRDefault="00037BE1">
      <w:pPr>
        <w:spacing w:line="8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3"/>
        </w:numPr>
        <w:tabs>
          <w:tab w:val="left" w:pos="378"/>
        </w:tabs>
        <w:spacing w:line="233" w:lineRule="auto"/>
        <w:ind w:left="377" w:right="80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Coordinate activities related to nominating &amp; opening LCs followed by advising &amp; confirming banks in compliance to available</w:t>
      </w:r>
      <w:r>
        <w:rPr>
          <w:rFonts w:ascii="Candara" w:eastAsia="Candara" w:hAnsi="Candara" w:cs="Candara"/>
          <w:sz w:val="19"/>
          <w:szCs w:val="19"/>
        </w:rPr>
        <w:t xml:space="preserve"> facilities</w:t>
      </w:r>
    </w:p>
    <w:p w:rsidR="00037BE1" w:rsidRDefault="00037BE1">
      <w:pPr>
        <w:spacing w:line="8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3"/>
        </w:numPr>
        <w:tabs>
          <w:tab w:val="left" w:pos="376"/>
        </w:tabs>
        <w:spacing w:line="233" w:lineRule="auto"/>
        <w:ind w:left="377" w:right="80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Guide traders &amp; operations staff on various aspects of L/C requirements in a deal including acceptable or unacceptable clauses and securing preferred bank based on facility arrangements</w:t>
      </w:r>
    </w:p>
    <w:p w:rsidR="00037BE1" w:rsidRDefault="00037BE1">
      <w:pPr>
        <w:spacing w:line="9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3"/>
        </w:numPr>
        <w:tabs>
          <w:tab w:val="left" w:pos="377"/>
        </w:tabs>
        <w:spacing w:line="233" w:lineRule="auto"/>
        <w:ind w:left="377" w:right="80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 xml:space="preserve">Follow up with counter parties pertaining to opening </w:t>
      </w:r>
      <w:r>
        <w:rPr>
          <w:rFonts w:ascii="Candara" w:eastAsia="Candara" w:hAnsi="Candara" w:cs="Candara"/>
          <w:sz w:val="19"/>
          <w:szCs w:val="19"/>
        </w:rPr>
        <w:t>letters of credit, Standby LCs, LC transfers (from transferrable LCs) based on terms of the purchase contract</w:t>
      </w:r>
    </w:p>
    <w:p w:rsidR="00037BE1" w:rsidRDefault="00037BE1">
      <w:pPr>
        <w:spacing w:line="9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3"/>
        </w:numPr>
        <w:tabs>
          <w:tab w:val="left" w:pos="377"/>
        </w:tabs>
        <w:spacing w:line="239" w:lineRule="auto"/>
        <w:ind w:left="377" w:right="80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Interact with suppliers, traders &amp; banks for preparing &amp; presenting related L/C amendments based on business requirements</w:t>
      </w:r>
    </w:p>
    <w:p w:rsidR="00037BE1" w:rsidRDefault="00037BE1">
      <w:pPr>
        <w:sectPr w:rsidR="00037BE1">
          <w:type w:val="continuous"/>
          <w:pgSz w:w="12240" w:h="15840"/>
          <w:pgMar w:top="1440" w:right="1140" w:bottom="378" w:left="1183" w:header="0" w:footer="0" w:gutter="0"/>
          <w:cols w:space="720" w:equalWidth="0">
            <w:col w:w="9917"/>
          </w:cols>
        </w:sectPr>
      </w:pPr>
    </w:p>
    <w:p w:rsidR="00037BE1" w:rsidRDefault="00D466D1">
      <w:pPr>
        <w:numPr>
          <w:ilvl w:val="0"/>
          <w:numId w:val="4"/>
        </w:numPr>
        <w:tabs>
          <w:tab w:val="left" w:pos="347"/>
        </w:tabs>
        <w:spacing w:line="233" w:lineRule="auto"/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lastRenderedPageBreak/>
        <w:t>Updat</w:t>
      </w:r>
      <w:r>
        <w:rPr>
          <w:rFonts w:ascii="Candara" w:eastAsia="Candara" w:hAnsi="Candara" w:cs="Candara"/>
          <w:sz w:val="19"/>
          <w:szCs w:val="19"/>
        </w:rPr>
        <w:t>e traders, customers &amp; banks for obtaining amendments before shipment and instruct customers on the required amendments</w:t>
      </w:r>
    </w:p>
    <w:p w:rsidR="00037BE1" w:rsidRDefault="00037BE1">
      <w:pPr>
        <w:spacing w:line="1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4"/>
        </w:numPr>
        <w:tabs>
          <w:tab w:val="left" w:pos="347"/>
        </w:tabs>
        <w:spacing w:line="238" w:lineRule="auto"/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Negotiate with banks for LC confirmations and arrange assignment of proceeds, credit insurance.</w:t>
      </w:r>
    </w:p>
    <w:p w:rsidR="00037BE1" w:rsidRDefault="00D466D1">
      <w:pPr>
        <w:numPr>
          <w:ilvl w:val="0"/>
          <w:numId w:val="4"/>
        </w:numPr>
        <w:tabs>
          <w:tab w:val="left" w:pos="347"/>
        </w:tabs>
        <w:spacing w:line="237" w:lineRule="auto"/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Follow up with banks for documents pres</w:t>
      </w:r>
      <w:r>
        <w:rPr>
          <w:rFonts w:ascii="Candara" w:eastAsia="Candara" w:hAnsi="Candara" w:cs="Candara"/>
          <w:sz w:val="19"/>
          <w:szCs w:val="19"/>
        </w:rPr>
        <w:t>ented and payments, discounting of L/Cs &amp; LC payments.</w:t>
      </w:r>
    </w:p>
    <w:p w:rsidR="00037BE1" w:rsidRDefault="00037BE1">
      <w:pPr>
        <w:spacing w:line="5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4"/>
        </w:numPr>
        <w:tabs>
          <w:tab w:val="left" w:pos="347"/>
        </w:tabs>
        <w:spacing w:line="207" w:lineRule="auto"/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Obtain 1</w:t>
      </w:r>
      <w:r>
        <w:rPr>
          <w:rFonts w:ascii="Candara" w:eastAsia="Candara" w:hAnsi="Candara" w:cs="Candara"/>
          <w:sz w:val="24"/>
          <w:szCs w:val="24"/>
          <w:vertAlign w:val="superscript"/>
        </w:rPr>
        <w:t>st</w:t>
      </w:r>
      <w:r>
        <w:rPr>
          <w:rFonts w:ascii="Candara" w:eastAsia="Candara" w:hAnsi="Candara" w:cs="Candara"/>
          <w:sz w:val="19"/>
          <w:szCs w:val="19"/>
        </w:rPr>
        <w:t xml:space="preserve"> leg document from supplier, prepare Shipment Advices, check draft BL’s based on originals received from local shipping companies</w:t>
      </w:r>
    </w:p>
    <w:p w:rsidR="00037BE1" w:rsidRDefault="00037BE1">
      <w:pPr>
        <w:spacing w:line="9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4"/>
        </w:numPr>
        <w:tabs>
          <w:tab w:val="left" w:pos="347"/>
        </w:tabs>
        <w:spacing w:line="233" w:lineRule="auto"/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Follow up with shipping companies and freight forwarders fo</w:t>
      </w:r>
      <w:r>
        <w:rPr>
          <w:rFonts w:ascii="Candara" w:eastAsia="Candara" w:hAnsi="Candara" w:cs="Candara"/>
          <w:sz w:val="19"/>
          <w:szCs w:val="19"/>
        </w:rPr>
        <w:t>r preparing full documentation of import and export operation</w:t>
      </w:r>
    </w:p>
    <w:p w:rsidR="00037BE1" w:rsidRDefault="00037BE1">
      <w:pPr>
        <w:spacing w:line="9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4"/>
        </w:numPr>
        <w:tabs>
          <w:tab w:val="left" w:pos="347"/>
        </w:tabs>
        <w:spacing w:line="234" w:lineRule="auto"/>
        <w:ind w:left="347" w:hanging="347"/>
        <w:jc w:val="both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 xml:space="preserve">Draft &amp; present documents for advance payment, pre‐shipment documents for custom clearance, BL instruction to be sent to supplier / shipping company for release the Bill of Lading including </w:t>
      </w:r>
      <w:r>
        <w:rPr>
          <w:rFonts w:ascii="Candara" w:eastAsia="Candara" w:hAnsi="Candara" w:cs="Candara"/>
          <w:sz w:val="19"/>
          <w:szCs w:val="19"/>
        </w:rPr>
        <w:t>Post shipment documents as per LC (Letter of Credit), CAD</w:t>
      </w:r>
    </w:p>
    <w:p w:rsidR="00037BE1" w:rsidRDefault="00037BE1">
      <w:pPr>
        <w:spacing w:line="10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4"/>
        </w:numPr>
        <w:tabs>
          <w:tab w:val="left" w:pos="348"/>
        </w:tabs>
        <w:spacing w:line="233" w:lineRule="auto"/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Organize training sessions for the trade finance and logistics team on rules and practices of documentary credit, collections, standby, guarantee etc for maintaining seamless operations</w:t>
      </w:r>
    </w:p>
    <w:p w:rsidR="00037BE1" w:rsidRDefault="00037BE1">
      <w:pPr>
        <w:spacing w:line="9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4"/>
        </w:numPr>
        <w:tabs>
          <w:tab w:val="left" w:pos="347"/>
        </w:tabs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 xml:space="preserve">Prepare &amp; </w:t>
      </w:r>
      <w:r>
        <w:rPr>
          <w:rFonts w:ascii="Candara" w:eastAsia="Candara" w:hAnsi="Candara" w:cs="Candara"/>
          <w:sz w:val="19"/>
          <w:szCs w:val="19"/>
        </w:rPr>
        <w:t>present various status reports for the senior management to enable effective decision making</w:t>
      </w:r>
    </w:p>
    <w:p w:rsidR="00037BE1" w:rsidRDefault="00037BE1">
      <w:pPr>
        <w:spacing w:line="217" w:lineRule="exact"/>
        <w:rPr>
          <w:sz w:val="20"/>
          <w:szCs w:val="20"/>
        </w:rPr>
      </w:pPr>
    </w:p>
    <w:p w:rsidR="00037BE1" w:rsidRDefault="00D466D1">
      <w:pPr>
        <w:ind w:right="-6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FFFFFF"/>
          <w:sz w:val="19"/>
          <w:szCs w:val="19"/>
        </w:rPr>
        <w:t xml:space="preserve">KAGZI EXPORTS / KAGZI HAND MADE PAPER INDUSTRIES, JAIPUR, INDIA </w:t>
      </w:r>
      <w:r>
        <w:rPr>
          <w:rFonts w:ascii="Webdings" w:eastAsia="Webdings" w:hAnsi="Webdings" w:cs="Webdings"/>
          <w:b/>
          <w:bCs/>
          <w:color w:val="FFFFFF"/>
          <w:sz w:val="19"/>
          <w:szCs w:val="19"/>
        </w:rPr>
        <w:t></w:t>
      </w:r>
      <w:r>
        <w:rPr>
          <w:rFonts w:ascii="Candara" w:eastAsia="Candara" w:hAnsi="Candara" w:cs="Candara"/>
          <w:b/>
          <w:bCs/>
          <w:color w:val="FFFFFF"/>
          <w:sz w:val="19"/>
          <w:szCs w:val="19"/>
        </w:rPr>
        <w:t xml:space="preserve"> July 1999 – Aug. 2007</w:t>
      </w:r>
    </w:p>
    <w:p w:rsidR="00037BE1" w:rsidRDefault="00037B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-10.95pt;width:493.55pt;height:11.4pt;z-index:-251655168;visibility:visible;mso-wrap-distance-left:0;mso-wrap-distance-right:0" o:allowincell="f" fillcolor="#002060" stroked="f"/>
        </w:pict>
      </w:r>
    </w:p>
    <w:p w:rsidR="00037BE1" w:rsidRDefault="00D466D1">
      <w:pPr>
        <w:ind w:right="-6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Operations and Documentation Executive</w:t>
      </w:r>
    </w:p>
    <w:p w:rsidR="00037BE1" w:rsidRDefault="00037B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-11.5pt;width:493.55pt;height:11.5pt;z-index:-251654144;visibility:visible;mso-wrap-distance-left:0;mso-wrap-distance-right:0" o:allowincell="f" fillcolor="#dbe5f1" stroked="f"/>
        </w:pict>
      </w:r>
    </w:p>
    <w:p w:rsidR="00037BE1" w:rsidRDefault="00037BE1">
      <w:pPr>
        <w:spacing w:line="162" w:lineRule="exact"/>
        <w:rPr>
          <w:sz w:val="20"/>
          <w:szCs w:val="20"/>
        </w:rPr>
      </w:pPr>
    </w:p>
    <w:p w:rsidR="00037BE1" w:rsidRDefault="00D466D1">
      <w:pPr>
        <w:spacing w:line="238" w:lineRule="auto"/>
        <w:ind w:left="7" w:firstLine="1"/>
        <w:rPr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KAGZI EXPORTS &amp; KAGZI HANDMADE</w:t>
      </w:r>
      <w:r>
        <w:rPr>
          <w:rFonts w:ascii="Candara" w:eastAsia="Candara" w:hAnsi="Candara" w:cs="Candara"/>
          <w:sz w:val="19"/>
          <w:szCs w:val="19"/>
        </w:rPr>
        <w:t xml:space="preserve"> PAPER INDUSTRIES is dealing with Textiles &amp; Handmade paper items and it is manufacturing unit.</w:t>
      </w:r>
    </w:p>
    <w:p w:rsidR="00037BE1" w:rsidRDefault="00037BE1">
      <w:pPr>
        <w:spacing w:line="172" w:lineRule="exact"/>
        <w:rPr>
          <w:sz w:val="20"/>
          <w:szCs w:val="20"/>
        </w:rPr>
      </w:pPr>
    </w:p>
    <w:p w:rsidR="00037BE1" w:rsidRDefault="00D466D1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Accountabilities:</w:t>
      </w:r>
    </w:p>
    <w:p w:rsidR="00037BE1" w:rsidRDefault="00D466D1">
      <w:pPr>
        <w:numPr>
          <w:ilvl w:val="0"/>
          <w:numId w:val="5"/>
        </w:numPr>
        <w:tabs>
          <w:tab w:val="left" w:pos="347"/>
        </w:tabs>
        <w:spacing w:line="237" w:lineRule="auto"/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Order Execution</w:t>
      </w:r>
    </w:p>
    <w:p w:rsidR="00037BE1" w:rsidRDefault="00D466D1">
      <w:pPr>
        <w:numPr>
          <w:ilvl w:val="0"/>
          <w:numId w:val="5"/>
        </w:numPr>
        <w:tabs>
          <w:tab w:val="left" w:pos="347"/>
        </w:tabs>
        <w:spacing w:line="238" w:lineRule="auto"/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Document preparation for customer clearance by Air &amp; Sea &amp; bank negotiation.</w:t>
      </w:r>
    </w:p>
    <w:p w:rsidR="00037BE1" w:rsidRDefault="00D466D1">
      <w:pPr>
        <w:numPr>
          <w:ilvl w:val="0"/>
          <w:numId w:val="5"/>
        </w:numPr>
        <w:tabs>
          <w:tab w:val="left" w:pos="347"/>
        </w:tabs>
        <w:spacing w:line="237" w:lineRule="auto"/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Communication with buyers</w:t>
      </w:r>
    </w:p>
    <w:p w:rsidR="00037BE1" w:rsidRDefault="00037BE1">
      <w:pPr>
        <w:spacing w:line="8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5"/>
        </w:numPr>
        <w:tabs>
          <w:tab w:val="left" w:pos="347"/>
        </w:tabs>
        <w:spacing w:line="233" w:lineRule="auto"/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 xml:space="preserve">Set up &amp; managed </w:t>
      </w:r>
      <w:r>
        <w:rPr>
          <w:rFonts w:ascii="Candara" w:eastAsia="Candara" w:hAnsi="Candara" w:cs="Candara"/>
          <w:sz w:val="19"/>
          <w:szCs w:val="19"/>
        </w:rPr>
        <w:t>effective logistics network to optimize movement of consignment and delivery of orders leading to enhanced organizational P&amp;L in coordination with transporters, consignees, etc</w:t>
      </w:r>
    </w:p>
    <w:p w:rsidR="00037BE1" w:rsidRDefault="00037BE1">
      <w:pPr>
        <w:spacing w:line="1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5"/>
        </w:numPr>
        <w:tabs>
          <w:tab w:val="left" w:pos="347"/>
        </w:tabs>
        <w:spacing w:line="237" w:lineRule="auto"/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Coordinated with freight forwarders for maintaining effective transport soluti</w:t>
      </w:r>
      <w:r>
        <w:rPr>
          <w:rFonts w:ascii="Candara" w:eastAsia="Candara" w:hAnsi="Candara" w:cs="Candara"/>
          <w:sz w:val="19"/>
          <w:szCs w:val="19"/>
        </w:rPr>
        <w:t>ons at reasonable costs.</w:t>
      </w:r>
    </w:p>
    <w:p w:rsidR="00037BE1" w:rsidRDefault="00037BE1">
      <w:pPr>
        <w:spacing w:line="8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5"/>
        </w:numPr>
        <w:tabs>
          <w:tab w:val="left" w:pos="347"/>
        </w:tabs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Updated business status to senior management &amp; clients using detailed reports for effective decision making</w:t>
      </w:r>
    </w:p>
    <w:p w:rsidR="00037BE1" w:rsidRDefault="00037BE1">
      <w:pPr>
        <w:spacing w:line="135" w:lineRule="exact"/>
        <w:rPr>
          <w:sz w:val="20"/>
          <w:szCs w:val="20"/>
        </w:rPr>
      </w:pPr>
    </w:p>
    <w:p w:rsidR="00037BE1" w:rsidRDefault="00D466D1">
      <w:pPr>
        <w:ind w:right="-6"/>
        <w:jc w:val="center"/>
        <w:rPr>
          <w:sz w:val="20"/>
          <w:szCs w:val="20"/>
        </w:rPr>
      </w:pPr>
      <w:r>
        <w:rPr>
          <w:rFonts w:ascii="Tw Cen MT Condensed Extra Bold" w:eastAsia="Tw Cen MT Condensed Extra Bold" w:hAnsi="Tw Cen MT Condensed Extra Bold" w:cs="Tw Cen MT Condensed Extra Bold"/>
          <w:b/>
          <w:bCs/>
          <w:sz w:val="24"/>
          <w:szCs w:val="24"/>
        </w:rPr>
        <w:t>Career Graph</w:t>
      </w:r>
    </w:p>
    <w:p w:rsidR="00037BE1" w:rsidRDefault="00D466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49530</wp:posOffset>
            </wp:positionV>
            <wp:extent cx="6402070" cy="678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7BE1" w:rsidRDefault="00037BE1">
      <w:pPr>
        <w:spacing w:line="142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4980"/>
        <w:gridCol w:w="1860"/>
      </w:tblGrid>
      <w:tr w:rsidR="00037BE1">
        <w:trPr>
          <w:trHeight w:val="241"/>
        </w:trPr>
        <w:tc>
          <w:tcPr>
            <w:tcW w:w="2680" w:type="dxa"/>
            <w:vAlign w:val="bottom"/>
          </w:tcPr>
          <w:p w:rsidR="00037BE1" w:rsidRDefault="00D466D1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Organization</w:t>
            </w:r>
          </w:p>
        </w:tc>
        <w:tc>
          <w:tcPr>
            <w:tcW w:w="4980" w:type="dxa"/>
            <w:vAlign w:val="bottom"/>
          </w:tcPr>
          <w:p w:rsidR="00037BE1" w:rsidRDefault="00D466D1">
            <w:pPr>
              <w:ind w:left="2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Designation</w:t>
            </w:r>
          </w:p>
        </w:tc>
        <w:tc>
          <w:tcPr>
            <w:tcW w:w="1860" w:type="dxa"/>
            <w:vAlign w:val="bottom"/>
          </w:tcPr>
          <w:p w:rsidR="00037BE1" w:rsidRDefault="00D466D1">
            <w:pPr>
              <w:ind w:left="1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sz w:val="19"/>
                <w:szCs w:val="19"/>
              </w:rPr>
              <w:t>Duration</w:t>
            </w:r>
          </w:p>
        </w:tc>
      </w:tr>
      <w:tr w:rsidR="00037BE1">
        <w:trPr>
          <w:trHeight w:val="240"/>
        </w:trPr>
        <w:tc>
          <w:tcPr>
            <w:tcW w:w="2680" w:type="dxa"/>
            <w:vAlign w:val="bottom"/>
          </w:tcPr>
          <w:p w:rsidR="00037BE1" w:rsidRDefault="00D466D1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Buoysail Tr. Est</w:t>
            </w:r>
          </w:p>
        </w:tc>
        <w:tc>
          <w:tcPr>
            <w:tcW w:w="4980" w:type="dxa"/>
            <w:vAlign w:val="bottom"/>
          </w:tcPr>
          <w:p w:rsidR="00037BE1" w:rsidRDefault="00D466D1">
            <w:pPr>
              <w:ind w:left="2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 xml:space="preserve">Manager Operations / Shipping &amp; Documentation </w:t>
            </w:r>
            <w:r>
              <w:rPr>
                <w:rFonts w:ascii="Candara" w:eastAsia="Candara" w:hAnsi="Candara" w:cs="Candara"/>
                <w:sz w:val="19"/>
                <w:szCs w:val="19"/>
              </w:rPr>
              <w:t>(expert)</w:t>
            </w:r>
          </w:p>
        </w:tc>
        <w:tc>
          <w:tcPr>
            <w:tcW w:w="1860" w:type="dxa"/>
            <w:vAlign w:val="bottom"/>
          </w:tcPr>
          <w:p w:rsidR="00037BE1" w:rsidRDefault="00D466D1">
            <w:pPr>
              <w:ind w:left="1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Nov 2007 onwards</w:t>
            </w:r>
          </w:p>
        </w:tc>
      </w:tr>
      <w:tr w:rsidR="00037BE1">
        <w:trPr>
          <w:trHeight w:val="235"/>
        </w:trPr>
        <w:tc>
          <w:tcPr>
            <w:tcW w:w="2680" w:type="dxa"/>
            <w:vAlign w:val="bottom"/>
          </w:tcPr>
          <w:p w:rsidR="00037BE1" w:rsidRDefault="00D466D1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Kagzi Export / Kagzi Handmade</w:t>
            </w:r>
          </w:p>
        </w:tc>
        <w:tc>
          <w:tcPr>
            <w:tcW w:w="4980" w:type="dxa"/>
            <w:vAlign w:val="bottom"/>
          </w:tcPr>
          <w:p w:rsidR="00037BE1" w:rsidRDefault="00D466D1">
            <w:pPr>
              <w:ind w:left="2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Operations and Documentation Executive</w:t>
            </w:r>
          </w:p>
        </w:tc>
        <w:tc>
          <w:tcPr>
            <w:tcW w:w="1860" w:type="dxa"/>
            <w:vAlign w:val="bottom"/>
          </w:tcPr>
          <w:p w:rsidR="00037BE1" w:rsidRDefault="00D466D1">
            <w:pPr>
              <w:ind w:left="18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w w:val="97"/>
                <w:sz w:val="19"/>
                <w:szCs w:val="19"/>
              </w:rPr>
              <w:t>July 1999 – Aug. 2007</w:t>
            </w:r>
          </w:p>
        </w:tc>
      </w:tr>
      <w:tr w:rsidR="00037BE1">
        <w:trPr>
          <w:trHeight w:val="233"/>
        </w:trPr>
        <w:tc>
          <w:tcPr>
            <w:tcW w:w="2680" w:type="dxa"/>
            <w:vAlign w:val="bottom"/>
          </w:tcPr>
          <w:p w:rsidR="00037BE1" w:rsidRDefault="00D466D1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9"/>
                <w:szCs w:val="19"/>
              </w:rPr>
              <w:t>Paper Industries</w:t>
            </w:r>
          </w:p>
        </w:tc>
        <w:tc>
          <w:tcPr>
            <w:tcW w:w="4980" w:type="dxa"/>
            <w:vAlign w:val="bottom"/>
          </w:tcPr>
          <w:p w:rsidR="00037BE1" w:rsidRDefault="00037BE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37BE1" w:rsidRDefault="00037BE1">
            <w:pPr>
              <w:rPr>
                <w:sz w:val="20"/>
                <w:szCs w:val="20"/>
              </w:rPr>
            </w:pPr>
          </w:p>
        </w:tc>
      </w:tr>
    </w:tbl>
    <w:p w:rsidR="00037BE1" w:rsidRDefault="00037BE1">
      <w:pPr>
        <w:spacing w:line="166" w:lineRule="exact"/>
        <w:rPr>
          <w:sz w:val="20"/>
          <w:szCs w:val="20"/>
        </w:rPr>
      </w:pPr>
    </w:p>
    <w:p w:rsidR="00037BE1" w:rsidRDefault="00D466D1">
      <w:pPr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left:0;text-align:left;z-index:251656192;visibility:visible;mso-wrap-distance-left:0;mso-wrap-distance-right:0" from="49pt,11.95pt" to="441.6pt,11.95pt" o:allowincell="f" strokeweight="1.86pt"/>
        </w:pict>
      </w:r>
      <w:r>
        <w:rPr>
          <w:rFonts w:ascii="Tw Cen MT Condensed Extra Bold" w:eastAsia="Tw Cen MT Condensed Extra Bold" w:hAnsi="Tw Cen MT Condensed Extra Bold" w:cs="Tw Cen MT Condensed Extra Bold"/>
          <w:b/>
          <w:bCs/>
          <w:sz w:val="24"/>
          <w:szCs w:val="24"/>
        </w:rPr>
        <w:t>Education</w:t>
      </w:r>
    </w:p>
    <w:p w:rsidR="00037BE1" w:rsidRDefault="00037BE1">
      <w:pPr>
        <w:spacing w:line="20" w:lineRule="exact"/>
        <w:rPr>
          <w:sz w:val="20"/>
          <w:szCs w:val="20"/>
        </w:rPr>
      </w:pPr>
    </w:p>
    <w:p w:rsidR="00037BE1" w:rsidRDefault="00D466D1">
      <w:pPr>
        <w:numPr>
          <w:ilvl w:val="0"/>
          <w:numId w:val="6"/>
        </w:numPr>
        <w:tabs>
          <w:tab w:val="left" w:pos="347"/>
        </w:tabs>
        <w:ind w:left="347" w:hanging="343"/>
        <w:rPr>
          <w:rFonts w:ascii="Webdings" w:eastAsia="Webdings" w:hAnsi="Webdings" w:cs="Webdings"/>
          <w:b/>
          <w:bCs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Diploma in Office Automation</w:t>
      </w:r>
    </w:p>
    <w:p w:rsidR="00037BE1" w:rsidRDefault="00037BE1">
      <w:pPr>
        <w:spacing w:line="1" w:lineRule="exact"/>
        <w:rPr>
          <w:rFonts w:ascii="Webdings" w:eastAsia="Webdings" w:hAnsi="Webdings" w:cs="Webdings"/>
          <w:b/>
          <w:bCs/>
          <w:sz w:val="17"/>
          <w:szCs w:val="17"/>
        </w:rPr>
      </w:pPr>
    </w:p>
    <w:p w:rsidR="00037BE1" w:rsidRDefault="00D466D1">
      <w:pPr>
        <w:ind w:left="327"/>
        <w:rPr>
          <w:rFonts w:ascii="Webdings" w:eastAsia="Webdings" w:hAnsi="Webdings" w:cs="Webdings"/>
          <w:b/>
          <w:bCs/>
          <w:sz w:val="17"/>
          <w:szCs w:val="17"/>
        </w:rPr>
      </w:pPr>
      <w:r>
        <w:rPr>
          <w:rFonts w:ascii="Arial" w:eastAsia="Arial" w:hAnsi="Arial" w:cs="Arial"/>
          <w:sz w:val="19"/>
          <w:szCs w:val="19"/>
        </w:rPr>
        <w:t>Diploma in Export Marketing &amp; Managment.</w:t>
      </w:r>
    </w:p>
    <w:p w:rsidR="00037BE1" w:rsidRDefault="00D466D1">
      <w:pPr>
        <w:numPr>
          <w:ilvl w:val="0"/>
          <w:numId w:val="6"/>
        </w:numPr>
        <w:tabs>
          <w:tab w:val="left" w:pos="347"/>
        </w:tabs>
        <w:spacing w:line="237" w:lineRule="auto"/>
        <w:ind w:left="347" w:hanging="343"/>
        <w:rPr>
          <w:rFonts w:ascii="Webdings" w:eastAsia="Webdings" w:hAnsi="Webdings" w:cs="Webdings"/>
          <w:b/>
          <w:bCs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 xml:space="preserve">B Com, Kerala University, </w:t>
      </w:r>
      <w:r>
        <w:rPr>
          <w:rFonts w:ascii="Candara" w:eastAsia="Candara" w:hAnsi="Candara" w:cs="Candara"/>
          <w:sz w:val="19"/>
          <w:szCs w:val="19"/>
        </w:rPr>
        <w:t>Kerala,</w:t>
      </w:r>
    </w:p>
    <w:p w:rsidR="00037BE1" w:rsidRDefault="00037BE1">
      <w:pPr>
        <w:spacing w:line="8" w:lineRule="exact"/>
        <w:rPr>
          <w:rFonts w:ascii="Webdings" w:eastAsia="Webdings" w:hAnsi="Webdings" w:cs="Webdings"/>
          <w:b/>
          <w:bCs/>
          <w:sz w:val="17"/>
          <w:szCs w:val="17"/>
        </w:rPr>
      </w:pPr>
    </w:p>
    <w:p w:rsidR="00037BE1" w:rsidRDefault="00D466D1">
      <w:pPr>
        <w:numPr>
          <w:ilvl w:val="0"/>
          <w:numId w:val="6"/>
        </w:numPr>
        <w:tabs>
          <w:tab w:val="left" w:pos="347"/>
        </w:tabs>
        <w:ind w:left="347" w:hanging="343"/>
        <w:rPr>
          <w:rFonts w:ascii="Webdings" w:eastAsia="Webdings" w:hAnsi="Webdings" w:cs="Webdings"/>
          <w:b/>
          <w:bCs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Pre‐   Degree from Kerala University</w:t>
      </w:r>
    </w:p>
    <w:p w:rsidR="00037BE1" w:rsidRDefault="00037BE1">
      <w:pPr>
        <w:spacing w:line="159" w:lineRule="exact"/>
        <w:rPr>
          <w:sz w:val="20"/>
          <w:szCs w:val="20"/>
        </w:rPr>
      </w:pPr>
    </w:p>
    <w:p w:rsidR="00037BE1" w:rsidRDefault="00D466D1">
      <w:pPr>
        <w:ind w:right="-6"/>
        <w:jc w:val="center"/>
        <w:rPr>
          <w:sz w:val="20"/>
          <w:szCs w:val="20"/>
        </w:rPr>
      </w:pPr>
      <w:r>
        <w:rPr>
          <w:rFonts w:ascii="Tw Cen MT Condensed Extra Bold" w:eastAsia="Tw Cen MT Condensed Extra Bold" w:hAnsi="Tw Cen MT Condensed Extra Bold" w:cs="Tw Cen MT Condensed Extra Bold"/>
          <w:b/>
          <w:bCs/>
          <w:sz w:val="24"/>
          <w:szCs w:val="24"/>
        </w:rPr>
        <w:t>Accreditation</w:t>
      </w:r>
    </w:p>
    <w:p w:rsidR="00037BE1" w:rsidRDefault="00037B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7216;visibility:visible;mso-wrap-distance-left:0;mso-wrap-distance-right:0" from="49pt,4.8pt" to="441.6pt,4.8pt" o:allowincell="f" strokeweight="1.86pt"/>
        </w:pict>
      </w:r>
    </w:p>
    <w:p w:rsidR="00037BE1" w:rsidRDefault="00037BE1">
      <w:pPr>
        <w:spacing w:line="314" w:lineRule="exact"/>
        <w:rPr>
          <w:sz w:val="20"/>
          <w:szCs w:val="20"/>
        </w:rPr>
      </w:pPr>
    </w:p>
    <w:p w:rsidR="00037BE1" w:rsidRDefault="00D466D1">
      <w:pPr>
        <w:numPr>
          <w:ilvl w:val="0"/>
          <w:numId w:val="7"/>
        </w:numPr>
        <w:tabs>
          <w:tab w:val="left" w:pos="347"/>
        </w:tabs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ATTENDED ISRI CONVENTION 2013 AT FLORIDA, USA</w:t>
      </w:r>
    </w:p>
    <w:p w:rsidR="00037BE1" w:rsidRDefault="00037BE1">
      <w:pPr>
        <w:spacing w:line="7" w:lineRule="exact"/>
        <w:rPr>
          <w:rFonts w:ascii="Webdings" w:eastAsia="Webdings" w:hAnsi="Webdings" w:cs="Webdings"/>
          <w:sz w:val="17"/>
          <w:szCs w:val="17"/>
        </w:rPr>
      </w:pPr>
    </w:p>
    <w:p w:rsidR="00037BE1" w:rsidRDefault="00D466D1">
      <w:pPr>
        <w:numPr>
          <w:ilvl w:val="0"/>
          <w:numId w:val="7"/>
        </w:numPr>
        <w:tabs>
          <w:tab w:val="left" w:pos="347"/>
        </w:tabs>
        <w:ind w:left="347" w:hanging="347"/>
        <w:rPr>
          <w:rFonts w:ascii="Webdings" w:eastAsia="Webdings" w:hAnsi="Webdings" w:cs="Webdings"/>
          <w:sz w:val="17"/>
          <w:szCs w:val="17"/>
        </w:rPr>
      </w:pPr>
      <w:r>
        <w:rPr>
          <w:rFonts w:ascii="Candara" w:eastAsia="Candara" w:hAnsi="Candara" w:cs="Candara"/>
          <w:sz w:val="19"/>
          <w:szCs w:val="19"/>
        </w:rPr>
        <w:t>ATTENDED VARIOUS MEETING &amp; PROGRAMME ON EXPORT CLEARANCE</w:t>
      </w:r>
    </w:p>
    <w:p w:rsidR="00037BE1" w:rsidRDefault="00037BE1">
      <w:pPr>
        <w:spacing w:line="200" w:lineRule="exact"/>
        <w:rPr>
          <w:sz w:val="20"/>
          <w:szCs w:val="20"/>
        </w:rPr>
      </w:pPr>
    </w:p>
    <w:p w:rsidR="00037BE1" w:rsidRDefault="00D466D1">
      <w:pPr>
        <w:ind w:left="7"/>
        <w:rPr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DECLARATION:</w:t>
      </w:r>
    </w:p>
    <w:p w:rsidR="00037BE1" w:rsidRDefault="00037BE1">
      <w:pPr>
        <w:spacing w:line="228" w:lineRule="exact"/>
        <w:rPr>
          <w:sz w:val="20"/>
          <w:szCs w:val="20"/>
        </w:rPr>
      </w:pPr>
    </w:p>
    <w:p w:rsidR="00037BE1" w:rsidRDefault="00D466D1">
      <w:pPr>
        <w:spacing w:line="238" w:lineRule="auto"/>
        <w:ind w:left="7" w:right="20" w:firstLine="1"/>
        <w:rPr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 xml:space="preserve">I certify that all information contained in this application is </w:t>
      </w:r>
      <w:r>
        <w:rPr>
          <w:rFonts w:ascii="Candara" w:eastAsia="Candara" w:hAnsi="Candara" w:cs="Candara"/>
          <w:sz w:val="19"/>
          <w:szCs w:val="19"/>
        </w:rPr>
        <w:t>factually correct and complete. I understand that the omission or misrepresentation of any information is sufficient grounds for canceling my registration.</w:t>
      </w:r>
    </w:p>
    <w:p w:rsidR="00037BE1" w:rsidRDefault="00037BE1">
      <w:pPr>
        <w:spacing w:line="218" w:lineRule="exact"/>
        <w:rPr>
          <w:sz w:val="20"/>
          <w:szCs w:val="20"/>
        </w:rPr>
      </w:pPr>
    </w:p>
    <w:p w:rsidR="00037BE1" w:rsidRDefault="00D466D1">
      <w:pPr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left:0;text-align:left;margin-left:-1.4pt;margin-top:.65pt;width:493.55pt;height:97.7pt;z-index:-251653120;visibility:visible;mso-wrap-distance-left:0;mso-wrap-distance-right:0" o:allowincell="f" fillcolor="#dbe5f1" stroked="f"/>
        </w:pict>
      </w:r>
      <w:r>
        <w:rPr>
          <w:rFonts w:ascii="Candara" w:eastAsia="Candara" w:hAnsi="Candara" w:cs="Candara"/>
          <w:b/>
          <w:bCs/>
          <w:sz w:val="19"/>
          <w:szCs w:val="19"/>
        </w:rPr>
        <w:t xml:space="preserve">Languages Known: </w:t>
      </w:r>
      <w:r>
        <w:rPr>
          <w:rFonts w:ascii="Candara" w:eastAsia="Candara" w:hAnsi="Candara" w:cs="Candara"/>
          <w:sz w:val="19"/>
          <w:szCs w:val="19"/>
        </w:rPr>
        <w:t>English, Hindi and Malayalam</w:t>
      </w:r>
      <w:r>
        <w:rPr>
          <w:rFonts w:ascii="Candara" w:eastAsia="Candara" w:hAnsi="Candara" w:cs="Candara"/>
          <w:b/>
          <w:bCs/>
          <w:sz w:val="19"/>
          <w:szCs w:val="19"/>
        </w:rPr>
        <w:t xml:space="preserve"> ~ Nationality: </w:t>
      </w:r>
      <w:r>
        <w:rPr>
          <w:rFonts w:ascii="Candara" w:eastAsia="Candara" w:hAnsi="Candara" w:cs="Candara"/>
          <w:sz w:val="19"/>
          <w:szCs w:val="19"/>
        </w:rPr>
        <w:t>Indian</w:t>
      </w:r>
    </w:p>
    <w:p w:rsidR="00037BE1" w:rsidRDefault="00037BE1">
      <w:pPr>
        <w:spacing w:line="20" w:lineRule="exact"/>
        <w:rPr>
          <w:sz w:val="20"/>
          <w:szCs w:val="20"/>
        </w:rPr>
      </w:pPr>
    </w:p>
    <w:p w:rsidR="00037BE1" w:rsidRDefault="00D466D1">
      <w:pPr>
        <w:spacing w:line="238" w:lineRule="auto"/>
        <w:ind w:right="-6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 xml:space="preserve">Visa Status: </w:t>
      </w:r>
      <w:r>
        <w:rPr>
          <w:rFonts w:ascii="Candara" w:eastAsia="Candara" w:hAnsi="Candara" w:cs="Candara"/>
          <w:sz w:val="19"/>
          <w:szCs w:val="19"/>
        </w:rPr>
        <w:t>Employment Visa</w:t>
      </w:r>
      <w:r>
        <w:rPr>
          <w:rFonts w:ascii="Candara" w:eastAsia="Candara" w:hAnsi="Candara" w:cs="Candara"/>
          <w:b/>
          <w:bCs/>
          <w:sz w:val="19"/>
          <w:szCs w:val="19"/>
        </w:rPr>
        <w:t xml:space="preserve"> ~ Other Country Visa Status: 10 year USA (expiry</w:t>
      </w:r>
    </w:p>
    <w:p w:rsidR="00037BE1" w:rsidRDefault="00037BE1">
      <w:pPr>
        <w:spacing w:line="8" w:lineRule="exact"/>
        <w:rPr>
          <w:sz w:val="20"/>
          <w:szCs w:val="20"/>
        </w:rPr>
      </w:pPr>
    </w:p>
    <w:p w:rsidR="00037BE1" w:rsidRDefault="00D466D1">
      <w:pPr>
        <w:ind w:right="-6"/>
        <w:jc w:val="center"/>
        <w:rPr>
          <w:rFonts w:ascii="Candara" w:eastAsia="Candara" w:hAnsi="Candara" w:cs="Candara"/>
          <w:sz w:val="19"/>
          <w:szCs w:val="19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 xml:space="preserve">2023) ~ References: </w:t>
      </w:r>
      <w:r>
        <w:rPr>
          <w:rFonts w:ascii="Candara" w:eastAsia="Candara" w:hAnsi="Candara" w:cs="Candara"/>
          <w:sz w:val="19"/>
          <w:szCs w:val="19"/>
        </w:rPr>
        <w:t>Available on Reques</w:t>
      </w:r>
      <w:r>
        <w:rPr>
          <w:rFonts w:ascii="Candara" w:eastAsia="Candara" w:hAnsi="Candara" w:cs="Candara"/>
          <w:sz w:val="19"/>
          <w:szCs w:val="19"/>
        </w:rPr>
        <w:t>t</w:t>
      </w:r>
    </w:p>
    <w:p w:rsidR="00D466D1" w:rsidRDefault="00D466D1">
      <w:pPr>
        <w:ind w:right="-6"/>
        <w:jc w:val="center"/>
        <w:rPr>
          <w:rFonts w:ascii="Candara" w:eastAsia="Candara" w:hAnsi="Candara" w:cs="Candara"/>
          <w:sz w:val="19"/>
          <w:szCs w:val="19"/>
        </w:rPr>
      </w:pPr>
      <w:r>
        <w:rPr>
          <w:rFonts w:ascii="Candara" w:eastAsia="Candara" w:hAnsi="Candara" w:cs="Candara"/>
          <w:b/>
          <w:sz w:val="19"/>
          <w:szCs w:val="19"/>
        </w:rPr>
        <w:t xml:space="preserve">Email: </w:t>
      </w:r>
      <w:hyperlink r:id="rId8" w:history="1">
        <w:r w:rsidRPr="00184A6A">
          <w:rPr>
            <w:rStyle w:val="Hyperlink"/>
            <w:rFonts w:ascii="Candara" w:eastAsia="Candara" w:hAnsi="Candara" w:cs="Candara"/>
            <w:sz w:val="19"/>
            <w:szCs w:val="19"/>
          </w:rPr>
          <w:t>Thomas-396975@gulfjobseeker.com</w:t>
        </w:r>
      </w:hyperlink>
      <w:r>
        <w:rPr>
          <w:rFonts w:ascii="Candara" w:eastAsia="Candara" w:hAnsi="Candara" w:cs="Candara"/>
          <w:sz w:val="19"/>
          <w:szCs w:val="19"/>
        </w:rPr>
        <w:t xml:space="preserve"> </w:t>
      </w:r>
    </w:p>
    <w:p w:rsidR="00D466D1" w:rsidRDefault="00D466D1" w:rsidP="00D466D1">
      <w:pPr>
        <w:ind w:right="-6"/>
        <w:jc w:val="center"/>
        <w:rPr>
          <w:rFonts w:ascii="Candara" w:eastAsia="Candara" w:hAnsi="Candara" w:cs="Candara"/>
          <w:sz w:val="19"/>
          <w:szCs w:val="19"/>
        </w:rPr>
      </w:pPr>
    </w:p>
    <w:p w:rsidR="00D466D1" w:rsidRPr="00D466D1" w:rsidRDefault="00D466D1" w:rsidP="00D466D1">
      <w:pPr>
        <w:jc w:val="center"/>
        <w:rPr>
          <w:sz w:val="20"/>
          <w:szCs w:val="20"/>
        </w:rPr>
      </w:pPr>
      <w:r w:rsidRPr="00D466D1">
        <w:rPr>
          <w:rFonts w:ascii="Candara" w:eastAsia="Garamond" w:hAnsi="Candara" w:cs="Garamond"/>
          <w:sz w:val="20"/>
        </w:rPr>
        <w:t>I am available for an interview online through this Zoom Link</w:t>
      </w:r>
      <w:r w:rsidRPr="00D466D1">
        <w:rPr>
          <w:rFonts w:ascii="Candara" w:eastAsia="Garamond" w:hAnsi="Candara" w:cs="Garamond"/>
          <w:sz w:val="20"/>
        </w:rPr>
        <w:t xml:space="preserve"> </w:t>
      </w:r>
      <w:hyperlink r:id="rId9" w:history="1">
        <w:r w:rsidRPr="00D466D1">
          <w:rPr>
            <w:rStyle w:val="Hyperlink"/>
            <w:rFonts w:ascii="Candara" w:hAnsi="Candara"/>
            <w:sz w:val="20"/>
            <w:lang w:val="en-GB"/>
          </w:rPr>
          <w:t>https://zoom.us/j/4532401292?pwd=</w:t>
        </w:r>
        <w:r w:rsidRPr="00D466D1">
          <w:rPr>
            <w:rStyle w:val="Hyperlink"/>
            <w:rFonts w:ascii="Candara" w:hAnsi="Candara"/>
            <w:sz w:val="20"/>
            <w:lang w:val="en-GB"/>
          </w:rPr>
          <w:t>SUlYVEdSeEpGaWN6ZndUaGEzK0FjUT09</w:t>
        </w:r>
      </w:hyperlink>
    </w:p>
    <w:sectPr w:rsidR="00D466D1" w:rsidRPr="00D466D1" w:rsidSect="00037BE1">
      <w:pgSz w:w="12240" w:h="15840"/>
      <w:pgMar w:top="690" w:right="1220" w:bottom="1440" w:left="1213" w:header="0" w:footer="0" w:gutter="0"/>
      <w:cols w:space="720" w:equalWidth="0">
        <w:col w:w="98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6003FFE"/>
    <w:lvl w:ilvl="0" w:tplc="45649B16">
      <w:start w:val="1"/>
      <w:numFmt w:val="bullet"/>
      <w:lvlText w:val=""/>
      <w:lvlJc w:val="left"/>
    </w:lvl>
    <w:lvl w:ilvl="1" w:tplc="4200459E">
      <w:numFmt w:val="decimal"/>
      <w:lvlText w:val=""/>
      <w:lvlJc w:val="left"/>
    </w:lvl>
    <w:lvl w:ilvl="2" w:tplc="44A03456">
      <w:numFmt w:val="decimal"/>
      <w:lvlText w:val=""/>
      <w:lvlJc w:val="left"/>
    </w:lvl>
    <w:lvl w:ilvl="3" w:tplc="3718E358">
      <w:numFmt w:val="decimal"/>
      <w:lvlText w:val=""/>
      <w:lvlJc w:val="left"/>
    </w:lvl>
    <w:lvl w:ilvl="4" w:tplc="285A4B7E">
      <w:numFmt w:val="decimal"/>
      <w:lvlText w:val=""/>
      <w:lvlJc w:val="left"/>
    </w:lvl>
    <w:lvl w:ilvl="5" w:tplc="93FCD67C">
      <w:numFmt w:val="decimal"/>
      <w:lvlText w:val=""/>
      <w:lvlJc w:val="left"/>
    </w:lvl>
    <w:lvl w:ilvl="6" w:tplc="04069CA8">
      <w:numFmt w:val="decimal"/>
      <w:lvlText w:val=""/>
      <w:lvlJc w:val="left"/>
    </w:lvl>
    <w:lvl w:ilvl="7" w:tplc="5C48B15A">
      <w:numFmt w:val="decimal"/>
      <w:lvlText w:val=""/>
      <w:lvlJc w:val="left"/>
    </w:lvl>
    <w:lvl w:ilvl="8" w:tplc="783611F2">
      <w:numFmt w:val="decimal"/>
      <w:lvlText w:val=""/>
      <w:lvlJc w:val="left"/>
    </w:lvl>
  </w:abstractNum>
  <w:abstractNum w:abstractNumId="1">
    <w:nsid w:val="00001649"/>
    <w:multiLevelType w:val="hybridMultilevel"/>
    <w:tmpl w:val="D48E0068"/>
    <w:lvl w:ilvl="0" w:tplc="E3A834F6">
      <w:start w:val="1"/>
      <w:numFmt w:val="bullet"/>
      <w:lvlText w:val=""/>
      <w:lvlJc w:val="left"/>
    </w:lvl>
    <w:lvl w:ilvl="1" w:tplc="304E7A6E">
      <w:numFmt w:val="decimal"/>
      <w:lvlText w:val=""/>
      <w:lvlJc w:val="left"/>
    </w:lvl>
    <w:lvl w:ilvl="2" w:tplc="5F2446BA">
      <w:numFmt w:val="decimal"/>
      <w:lvlText w:val=""/>
      <w:lvlJc w:val="left"/>
    </w:lvl>
    <w:lvl w:ilvl="3" w:tplc="C0D43D40">
      <w:numFmt w:val="decimal"/>
      <w:lvlText w:val=""/>
      <w:lvlJc w:val="left"/>
    </w:lvl>
    <w:lvl w:ilvl="4" w:tplc="4A482AD0">
      <w:numFmt w:val="decimal"/>
      <w:lvlText w:val=""/>
      <w:lvlJc w:val="left"/>
    </w:lvl>
    <w:lvl w:ilvl="5" w:tplc="E5DCDFEA">
      <w:numFmt w:val="decimal"/>
      <w:lvlText w:val=""/>
      <w:lvlJc w:val="left"/>
    </w:lvl>
    <w:lvl w:ilvl="6" w:tplc="B20E66D6">
      <w:numFmt w:val="decimal"/>
      <w:lvlText w:val=""/>
      <w:lvlJc w:val="left"/>
    </w:lvl>
    <w:lvl w:ilvl="7" w:tplc="B7F24676">
      <w:numFmt w:val="decimal"/>
      <w:lvlText w:val=""/>
      <w:lvlJc w:val="left"/>
    </w:lvl>
    <w:lvl w:ilvl="8" w:tplc="A6021D0E">
      <w:numFmt w:val="decimal"/>
      <w:lvlText w:val=""/>
      <w:lvlJc w:val="left"/>
    </w:lvl>
  </w:abstractNum>
  <w:abstractNum w:abstractNumId="2">
    <w:nsid w:val="000026E9"/>
    <w:multiLevelType w:val="hybridMultilevel"/>
    <w:tmpl w:val="43B039BA"/>
    <w:lvl w:ilvl="0" w:tplc="22C2D362">
      <w:start w:val="1"/>
      <w:numFmt w:val="bullet"/>
      <w:lvlText w:val=""/>
      <w:lvlJc w:val="left"/>
    </w:lvl>
    <w:lvl w:ilvl="1" w:tplc="F976A690">
      <w:numFmt w:val="decimal"/>
      <w:lvlText w:val=""/>
      <w:lvlJc w:val="left"/>
    </w:lvl>
    <w:lvl w:ilvl="2" w:tplc="90022A3C">
      <w:numFmt w:val="decimal"/>
      <w:lvlText w:val=""/>
      <w:lvlJc w:val="left"/>
    </w:lvl>
    <w:lvl w:ilvl="3" w:tplc="CB12EBA0">
      <w:numFmt w:val="decimal"/>
      <w:lvlText w:val=""/>
      <w:lvlJc w:val="left"/>
    </w:lvl>
    <w:lvl w:ilvl="4" w:tplc="DE6ED268">
      <w:numFmt w:val="decimal"/>
      <w:lvlText w:val=""/>
      <w:lvlJc w:val="left"/>
    </w:lvl>
    <w:lvl w:ilvl="5" w:tplc="73809892">
      <w:numFmt w:val="decimal"/>
      <w:lvlText w:val=""/>
      <w:lvlJc w:val="left"/>
    </w:lvl>
    <w:lvl w:ilvl="6" w:tplc="A06E09CC">
      <w:numFmt w:val="decimal"/>
      <w:lvlText w:val=""/>
      <w:lvlJc w:val="left"/>
    </w:lvl>
    <w:lvl w:ilvl="7" w:tplc="3D5ECDC4">
      <w:numFmt w:val="decimal"/>
      <w:lvlText w:val=""/>
      <w:lvlJc w:val="left"/>
    </w:lvl>
    <w:lvl w:ilvl="8" w:tplc="8802357A">
      <w:numFmt w:val="decimal"/>
      <w:lvlText w:val=""/>
      <w:lvlJc w:val="left"/>
    </w:lvl>
  </w:abstractNum>
  <w:abstractNum w:abstractNumId="3">
    <w:nsid w:val="000041BB"/>
    <w:multiLevelType w:val="hybridMultilevel"/>
    <w:tmpl w:val="83A6EBE8"/>
    <w:lvl w:ilvl="0" w:tplc="AC141DEC">
      <w:start w:val="1"/>
      <w:numFmt w:val="bullet"/>
      <w:lvlText w:val=""/>
      <w:lvlJc w:val="left"/>
    </w:lvl>
    <w:lvl w:ilvl="1" w:tplc="30D6EE26">
      <w:numFmt w:val="decimal"/>
      <w:lvlText w:val=""/>
      <w:lvlJc w:val="left"/>
    </w:lvl>
    <w:lvl w:ilvl="2" w:tplc="E1B69972">
      <w:numFmt w:val="decimal"/>
      <w:lvlText w:val=""/>
      <w:lvlJc w:val="left"/>
    </w:lvl>
    <w:lvl w:ilvl="3" w:tplc="1E68E2B6">
      <w:numFmt w:val="decimal"/>
      <w:lvlText w:val=""/>
      <w:lvlJc w:val="left"/>
    </w:lvl>
    <w:lvl w:ilvl="4" w:tplc="F0B2979E">
      <w:numFmt w:val="decimal"/>
      <w:lvlText w:val=""/>
      <w:lvlJc w:val="left"/>
    </w:lvl>
    <w:lvl w:ilvl="5" w:tplc="EE468882">
      <w:numFmt w:val="decimal"/>
      <w:lvlText w:val=""/>
      <w:lvlJc w:val="left"/>
    </w:lvl>
    <w:lvl w:ilvl="6" w:tplc="54023FCE">
      <w:numFmt w:val="decimal"/>
      <w:lvlText w:val=""/>
      <w:lvlJc w:val="left"/>
    </w:lvl>
    <w:lvl w:ilvl="7" w:tplc="3B78C9B8">
      <w:numFmt w:val="decimal"/>
      <w:lvlText w:val=""/>
      <w:lvlJc w:val="left"/>
    </w:lvl>
    <w:lvl w:ilvl="8" w:tplc="3C24A520">
      <w:numFmt w:val="decimal"/>
      <w:lvlText w:val=""/>
      <w:lvlJc w:val="left"/>
    </w:lvl>
  </w:abstractNum>
  <w:abstractNum w:abstractNumId="4">
    <w:nsid w:val="00005AF1"/>
    <w:multiLevelType w:val="hybridMultilevel"/>
    <w:tmpl w:val="96747BA0"/>
    <w:lvl w:ilvl="0" w:tplc="447A7CC0">
      <w:start w:val="1"/>
      <w:numFmt w:val="bullet"/>
      <w:lvlText w:val=""/>
      <w:lvlJc w:val="left"/>
    </w:lvl>
    <w:lvl w:ilvl="1" w:tplc="57BEAF7A">
      <w:numFmt w:val="decimal"/>
      <w:lvlText w:val=""/>
      <w:lvlJc w:val="left"/>
    </w:lvl>
    <w:lvl w:ilvl="2" w:tplc="6256F30A">
      <w:numFmt w:val="decimal"/>
      <w:lvlText w:val=""/>
      <w:lvlJc w:val="left"/>
    </w:lvl>
    <w:lvl w:ilvl="3" w:tplc="735E6236">
      <w:numFmt w:val="decimal"/>
      <w:lvlText w:val=""/>
      <w:lvlJc w:val="left"/>
    </w:lvl>
    <w:lvl w:ilvl="4" w:tplc="28C67E56">
      <w:numFmt w:val="decimal"/>
      <w:lvlText w:val=""/>
      <w:lvlJc w:val="left"/>
    </w:lvl>
    <w:lvl w:ilvl="5" w:tplc="38F430C8">
      <w:numFmt w:val="decimal"/>
      <w:lvlText w:val=""/>
      <w:lvlJc w:val="left"/>
    </w:lvl>
    <w:lvl w:ilvl="6" w:tplc="F82EA808">
      <w:numFmt w:val="decimal"/>
      <w:lvlText w:val=""/>
      <w:lvlJc w:val="left"/>
    </w:lvl>
    <w:lvl w:ilvl="7" w:tplc="C60C32EC">
      <w:numFmt w:val="decimal"/>
      <w:lvlText w:val=""/>
      <w:lvlJc w:val="left"/>
    </w:lvl>
    <w:lvl w:ilvl="8" w:tplc="16BA4912">
      <w:numFmt w:val="decimal"/>
      <w:lvlText w:val=""/>
      <w:lvlJc w:val="left"/>
    </w:lvl>
  </w:abstractNum>
  <w:abstractNum w:abstractNumId="5">
    <w:nsid w:val="00005F90"/>
    <w:multiLevelType w:val="hybridMultilevel"/>
    <w:tmpl w:val="64F2FA6A"/>
    <w:lvl w:ilvl="0" w:tplc="7E3C26D2">
      <w:start w:val="1"/>
      <w:numFmt w:val="bullet"/>
      <w:lvlText w:val=""/>
      <w:lvlJc w:val="left"/>
    </w:lvl>
    <w:lvl w:ilvl="1" w:tplc="9E885390">
      <w:numFmt w:val="decimal"/>
      <w:lvlText w:val=""/>
      <w:lvlJc w:val="left"/>
    </w:lvl>
    <w:lvl w:ilvl="2" w:tplc="14206B96">
      <w:numFmt w:val="decimal"/>
      <w:lvlText w:val=""/>
      <w:lvlJc w:val="left"/>
    </w:lvl>
    <w:lvl w:ilvl="3" w:tplc="F2788C1A">
      <w:numFmt w:val="decimal"/>
      <w:lvlText w:val=""/>
      <w:lvlJc w:val="left"/>
    </w:lvl>
    <w:lvl w:ilvl="4" w:tplc="320A13A6">
      <w:numFmt w:val="decimal"/>
      <w:lvlText w:val=""/>
      <w:lvlJc w:val="left"/>
    </w:lvl>
    <w:lvl w:ilvl="5" w:tplc="1D7A4312">
      <w:numFmt w:val="decimal"/>
      <w:lvlText w:val=""/>
      <w:lvlJc w:val="left"/>
    </w:lvl>
    <w:lvl w:ilvl="6" w:tplc="5770E4D4">
      <w:numFmt w:val="decimal"/>
      <w:lvlText w:val=""/>
      <w:lvlJc w:val="left"/>
    </w:lvl>
    <w:lvl w:ilvl="7" w:tplc="457E46CA">
      <w:numFmt w:val="decimal"/>
      <w:lvlText w:val=""/>
      <w:lvlJc w:val="left"/>
    </w:lvl>
    <w:lvl w:ilvl="8" w:tplc="08E0C812">
      <w:numFmt w:val="decimal"/>
      <w:lvlText w:val=""/>
      <w:lvlJc w:val="left"/>
    </w:lvl>
  </w:abstractNum>
  <w:abstractNum w:abstractNumId="6">
    <w:nsid w:val="00006DF1"/>
    <w:multiLevelType w:val="hybridMultilevel"/>
    <w:tmpl w:val="0B8083FE"/>
    <w:lvl w:ilvl="0" w:tplc="10EC9B94">
      <w:start w:val="1"/>
      <w:numFmt w:val="bullet"/>
      <w:lvlText w:val=""/>
      <w:lvlJc w:val="left"/>
    </w:lvl>
    <w:lvl w:ilvl="1" w:tplc="088A02A0">
      <w:numFmt w:val="decimal"/>
      <w:lvlText w:val=""/>
      <w:lvlJc w:val="left"/>
    </w:lvl>
    <w:lvl w:ilvl="2" w:tplc="23BC4E50">
      <w:numFmt w:val="decimal"/>
      <w:lvlText w:val=""/>
      <w:lvlJc w:val="left"/>
    </w:lvl>
    <w:lvl w:ilvl="3" w:tplc="C262E272">
      <w:numFmt w:val="decimal"/>
      <w:lvlText w:val=""/>
      <w:lvlJc w:val="left"/>
    </w:lvl>
    <w:lvl w:ilvl="4" w:tplc="AC0E091A">
      <w:numFmt w:val="decimal"/>
      <w:lvlText w:val=""/>
      <w:lvlJc w:val="left"/>
    </w:lvl>
    <w:lvl w:ilvl="5" w:tplc="7A2AFB86">
      <w:numFmt w:val="decimal"/>
      <w:lvlText w:val=""/>
      <w:lvlJc w:val="left"/>
    </w:lvl>
    <w:lvl w:ilvl="6" w:tplc="0388F53E">
      <w:numFmt w:val="decimal"/>
      <w:lvlText w:val=""/>
      <w:lvlJc w:val="left"/>
    </w:lvl>
    <w:lvl w:ilvl="7" w:tplc="FFFCF1B2">
      <w:numFmt w:val="decimal"/>
      <w:lvlText w:val=""/>
      <w:lvlJc w:val="left"/>
    </w:lvl>
    <w:lvl w:ilvl="8" w:tplc="EF9CCDA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7BE1"/>
    <w:rsid w:val="00037BE1"/>
    <w:rsid w:val="00D4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-396975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2020-06-18T14:31:00Z</dcterms:created>
  <dcterms:modified xsi:type="dcterms:W3CDTF">2020-06-18T14:31:00Z</dcterms:modified>
</cp:coreProperties>
</file>