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9" w:rsidRPr="003D486F" w:rsidRDefault="008C74D0" w:rsidP="009F156E">
      <w:pPr>
        <w:spacing w:after="0" w:line="240" w:lineRule="atLeast"/>
        <w:jc w:val="center"/>
        <w:rPr>
          <w:rFonts w:ascii="Tahoma" w:hAnsi="Tahoma" w:cs="Tahoma"/>
          <w:sz w:val="36"/>
          <w:szCs w:val="36"/>
        </w:rPr>
      </w:pPr>
      <w:r w:rsidRPr="004B3BB5">
        <w:rPr>
          <w:rFonts w:ascii="Tahoma" w:hAnsi="Tahoma" w:cs="Tahoma"/>
          <w:sz w:val="32"/>
          <w:szCs w:val="32"/>
        </w:rPr>
        <w:t xml:space="preserve">ACHALA </w:t>
      </w:r>
    </w:p>
    <w:p w:rsidR="008C74D0" w:rsidRDefault="00765649" w:rsidP="003D486F">
      <w:pPr>
        <w:spacing w:after="0" w:line="240" w:lineRule="atLeast"/>
        <w:jc w:val="center"/>
        <w:rPr>
          <w:rFonts w:ascii="Tahoma" w:hAnsi="Tahoma" w:cs="Tahoma"/>
          <w:color w:val="7F7F7F" w:themeColor="text1" w:themeTint="80"/>
          <w:sz w:val="18"/>
          <w:szCs w:val="18"/>
        </w:rPr>
      </w:pPr>
      <w:r w:rsidRPr="001740D2">
        <w:rPr>
          <w:rFonts w:ascii="Tahoma" w:hAnsi="Tahoma" w:cs="Tahoma"/>
          <w:color w:val="7F7F7F" w:themeColor="text1" w:themeTint="80"/>
          <w:sz w:val="18"/>
          <w:szCs w:val="18"/>
        </w:rPr>
        <w:t xml:space="preserve">CA, ACMA, </w:t>
      </w:r>
    </w:p>
    <w:p w:rsidR="00317FD3" w:rsidRDefault="00E31677" w:rsidP="008A7C14">
      <w:pPr>
        <w:spacing w:after="0" w:line="240" w:lineRule="atLeast"/>
        <w:jc w:val="center"/>
        <w:rPr>
          <w:rFonts w:ascii="Tahoma" w:hAnsi="Tahoma" w:cs="Tahoma"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color w:val="7F7F7F" w:themeColor="text1" w:themeTint="80"/>
          <w:sz w:val="18"/>
          <w:szCs w:val="18"/>
        </w:rPr>
        <w:t xml:space="preserve">Email: </w:t>
      </w:r>
      <w:hyperlink r:id="rId9" w:history="1">
        <w:r w:rsidRPr="001412FC">
          <w:rPr>
            <w:rStyle w:val="Hyperlink"/>
            <w:rFonts w:cstheme="minorBidi"/>
          </w:rPr>
          <w:t>achala.80412@2freemail.com</w:t>
        </w:r>
      </w:hyperlink>
      <w:r>
        <w:t xml:space="preserve"> </w:t>
      </w:r>
      <w:bookmarkStart w:id="0" w:name="_GoBack"/>
      <w:bookmarkEnd w:id="0"/>
    </w:p>
    <w:p w:rsidR="008A7C14" w:rsidRDefault="008A7C14" w:rsidP="008A7C14">
      <w:pPr>
        <w:spacing w:after="0" w:line="240" w:lineRule="atLeast"/>
        <w:jc w:val="center"/>
        <w:rPr>
          <w:rFonts w:ascii="Tahoma" w:hAnsi="Tahoma" w:cs="Tahoma"/>
          <w:color w:val="7F7F7F" w:themeColor="text1" w:themeTint="80"/>
          <w:sz w:val="18"/>
          <w:szCs w:val="18"/>
        </w:rPr>
      </w:pPr>
    </w:p>
    <w:p w:rsidR="008A7C14" w:rsidRPr="008A7C14" w:rsidRDefault="008A7C14" w:rsidP="008A7C14">
      <w:pPr>
        <w:spacing w:after="80" w:line="240" w:lineRule="atLeast"/>
        <w:rPr>
          <w:rFonts w:ascii="Tahoma" w:hAnsi="Tahoma" w:cs="Tahoma"/>
          <w:b/>
          <w:bCs/>
          <w:sz w:val="20"/>
          <w:szCs w:val="20"/>
        </w:rPr>
      </w:pPr>
      <w:r w:rsidRPr="008A7C14">
        <w:rPr>
          <w:rFonts w:ascii="Tahoma" w:hAnsi="Tahoma" w:cs="Tahoma"/>
          <w:b/>
          <w:bCs/>
          <w:sz w:val="20"/>
          <w:szCs w:val="20"/>
        </w:rPr>
        <w:t>Summary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866ED3" w:rsidRPr="00E07FF9" w:rsidTr="00866ED3">
        <w:trPr>
          <w:trHeight w:val="368"/>
        </w:trPr>
        <w:tc>
          <w:tcPr>
            <w:tcW w:w="5000" w:type="pct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72" w:type="dxa"/>
              <w:right w:w="72" w:type="dxa"/>
            </w:tcMar>
          </w:tcPr>
          <w:p w:rsidR="00866ED3" w:rsidRPr="00866ED3" w:rsidRDefault="00866ED3" w:rsidP="004D12BC">
            <w:pPr>
              <w:spacing w:after="80" w:line="24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6ED3">
              <w:rPr>
                <w:rFonts w:ascii="Tahoma" w:hAnsi="Tahoma" w:cs="Tahoma"/>
                <w:sz w:val="18"/>
                <w:szCs w:val="18"/>
              </w:rPr>
              <w:t>Chartered Accountant (CA) cum a Certified Management Accountant (ACMA) with more than 1</w:t>
            </w:r>
            <w:r w:rsidR="00120624">
              <w:rPr>
                <w:rFonts w:ascii="Tahoma" w:hAnsi="Tahoma" w:cs="Tahoma"/>
                <w:sz w:val="18"/>
                <w:szCs w:val="18"/>
              </w:rPr>
              <w:t>3</w:t>
            </w:r>
            <w:r w:rsidRPr="00866ED3">
              <w:rPr>
                <w:rFonts w:ascii="Tahoma" w:hAnsi="Tahoma" w:cs="Tahoma"/>
                <w:sz w:val="18"/>
                <w:szCs w:val="18"/>
              </w:rPr>
              <w:t xml:space="preserve"> years’ experience. Worked for one of the Big Four (audit firms) in the assurance and transaction advisory services business lines specializing in hospitality industry for more than 4 years. Since December 2012, employed at Thirty Six Strategies General Trading LLC.</w:t>
            </w:r>
          </w:p>
        </w:tc>
      </w:tr>
    </w:tbl>
    <w:p w:rsidR="008A7C14" w:rsidRDefault="008A7C14" w:rsidP="008A7C14">
      <w:pPr>
        <w:spacing w:after="80" w:line="240" w:lineRule="atLeast"/>
        <w:rPr>
          <w:rFonts w:ascii="Tahoma" w:hAnsi="Tahoma" w:cs="Tahoma"/>
          <w:sz w:val="18"/>
          <w:szCs w:val="18"/>
        </w:rPr>
      </w:pPr>
    </w:p>
    <w:p w:rsidR="009F156E" w:rsidRPr="0057481F" w:rsidRDefault="009F156E" w:rsidP="008A7C14">
      <w:pPr>
        <w:spacing w:after="80" w:line="240" w:lineRule="atLeast"/>
        <w:rPr>
          <w:rFonts w:ascii="Tahoma" w:hAnsi="Tahoma" w:cs="Tahoma"/>
          <w:b/>
          <w:bCs/>
          <w:sz w:val="20"/>
          <w:szCs w:val="20"/>
        </w:rPr>
      </w:pPr>
      <w:r w:rsidRPr="0057481F">
        <w:rPr>
          <w:rFonts w:ascii="Tahoma" w:hAnsi="Tahoma" w:cs="Tahoma"/>
          <w:b/>
          <w:bCs/>
          <w:sz w:val="20"/>
          <w:szCs w:val="20"/>
        </w:rPr>
        <w:t>Experience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392"/>
      </w:tblGrid>
      <w:tr w:rsidR="009F156E" w:rsidTr="0039176D">
        <w:trPr>
          <w:trHeight w:val="854"/>
        </w:trPr>
        <w:tc>
          <w:tcPr>
            <w:tcW w:w="971" w:type="pct"/>
            <w:tcBorders>
              <w:top w:val="single" w:sz="4" w:space="0" w:color="auto"/>
              <w:bottom w:val="nil"/>
            </w:tcBorders>
            <w:tcMar>
              <w:left w:w="72" w:type="dxa"/>
              <w:right w:w="72" w:type="dxa"/>
            </w:tcMar>
          </w:tcPr>
          <w:p w:rsidR="009F156E" w:rsidRPr="00085B60" w:rsidRDefault="00334BD3" w:rsidP="00FC362C">
            <w:pPr>
              <w:spacing w:before="80" w:after="80"/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36</w:t>
            </w:r>
            <w:r w:rsidR="008C74D0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 Strategies General Trading LLC</w:t>
            </w:r>
          </w:p>
        </w:tc>
        <w:tc>
          <w:tcPr>
            <w:tcW w:w="4029" w:type="pct"/>
            <w:tcBorders>
              <w:top w:val="single" w:sz="4" w:space="0" w:color="auto"/>
              <w:bottom w:val="nil"/>
            </w:tcBorders>
            <w:tcMar>
              <w:left w:w="72" w:type="dxa"/>
              <w:right w:w="72" w:type="dxa"/>
            </w:tcMar>
          </w:tcPr>
          <w:p w:rsidR="009F156E" w:rsidRPr="006B16A6" w:rsidRDefault="00E07FF9" w:rsidP="0001149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36 Strategies help</w:t>
            </w:r>
            <w:r w:rsidR="008D2F1B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s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business</w:t>
            </w:r>
            <w:r w:rsidR="00011491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es to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succeed through strategic sourcing and vendor</w:t>
            </w:r>
            <w:r w:rsidR="00011491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management.</w:t>
            </w:r>
            <w:r w:rsidR="00334BD3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36 Strategies provides intelligent, end-to-end procurement solutions </w:t>
            </w:r>
            <w:r w:rsidR="00011491"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to </w:t>
            </w:r>
            <w:r w:rsidR="00011491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support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 w:rsidR="00334BD3"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organizations</w:t>
            </w:r>
            <w:r w:rsidRPr="00E07FF9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across both public and private sectors.</w:t>
            </w:r>
          </w:p>
        </w:tc>
      </w:tr>
      <w:tr w:rsidR="0039176D" w:rsidTr="00C5520E">
        <w:trPr>
          <w:trHeight w:val="5813"/>
        </w:trPr>
        <w:tc>
          <w:tcPr>
            <w:tcW w:w="971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tcMar>
              <w:left w:w="72" w:type="dxa"/>
              <w:right w:w="72" w:type="dxa"/>
            </w:tcMar>
          </w:tcPr>
          <w:p w:rsidR="0039176D" w:rsidRPr="0039176D" w:rsidRDefault="0039176D" w:rsidP="004D7F30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39176D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Finance Manager             Dec 12 – present</w:t>
            </w:r>
          </w:p>
        </w:tc>
        <w:tc>
          <w:tcPr>
            <w:tcW w:w="402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tcMar>
              <w:left w:w="72" w:type="dxa"/>
              <w:right w:w="72" w:type="dxa"/>
            </w:tcMar>
          </w:tcPr>
          <w:p w:rsidR="0039176D" w:rsidRPr="0039176D" w:rsidRDefault="008D2F1B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Analyzing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76D" w:rsidRPr="0039176D">
              <w:rPr>
                <w:rFonts w:ascii="Tahoma" w:hAnsi="Tahoma" w:cs="Tahoma"/>
                <w:sz w:val="18"/>
                <w:szCs w:val="18"/>
              </w:rPr>
              <w:t>and int</w:t>
            </w:r>
            <w:r w:rsidR="00C5520E">
              <w:rPr>
                <w:rFonts w:ascii="Tahoma" w:hAnsi="Tahoma" w:cs="Tahoma"/>
                <w:sz w:val="18"/>
                <w:szCs w:val="18"/>
              </w:rPr>
              <w:t>erpreting financial information</w:t>
            </w:r>
          </w:p>
          <w:p w:rsidR="00CD7C81" w:rsidRPr="0039176D" w:rsidRDefault="00CD7C81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Formulating strateg</w:t>
            </w:r>
            <w:r>
              <w:rPr>
                <w:rFonts w:ascii="Tahoma" w:hAnsi="Tahoma" w:cs="Tahoma"/>
                <w:sz w:val="18"/>
                <w:szCs w:val="18"/>
              </w:rPr>
              <w:t>ic and long-term business plans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 xml:space="preserve">Analyzing </w:t>
            </w:r>
            <w:r w:rsidR="00C5520E">
              <w:rPr>
                <w:rFonts w:ascii="Tahoma" w:hAnsi="Tahoma" w:cs="Tahoma"/>
                <w:sz w:val="18"/>
                <w:szCs w:val="18"/>
              </w:rPr>
              <w:t>change</w:t>
            </w:r>
            <w:r w:rsidR="008D2F1B">
              <w:rPr>
                <w:rFonts w:ascii="Tahoma" w:hAnsi="Tahoma" w:cs="Tahoma"/>
                <w:sz w:val="18"/>
                <w:szCs w:val="18"/>
              </w:rPr>
              <w:t>, identifying its impact to the organization</w:t>
            </w:r>
            <w:r w:rsidR="00C5520E">
              <w:rPr>
                <w:rFonts w:ascii="Tahoma" w:hAnsi="Tahoma" w:cs="Tahoma"/>
                <w:sz w:val="18"/>
                <w:szCs w:val="18"/>
              </w:rPr>
              <w:t xml:space="preserve"> and advising accordingly</w:t>
            </w:r>
          </w:p>
          <w:p w:rsidR="00CD7C81" w:rsidRPr="0039176D" w:rsidRDefault="00CD7C81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Monitoring cash flo</w:t>
            </w:r>
            <w:r>
              <w:rPr>
                <w:rFonts w:ascii="Tahoma" w:hAnsi="Tahoma" w:cs="Tahoma"/>
                <w:sz w:val="18"/>
                <w:szCs w:val="18"/>
              </w:rPr>
              <w:t>ws and forecasting future trends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Researching and reporting on factors influe</w:t>
            </w:r>
            <w:r w:rsidR="00C5520E">
              <w:rPr>
                <w:rFonts w:ascii="Tahoma" w:hAnsi="Tahoma" w:cs="Tahoma"/>
                <w:sz w:val="18"/>
                <w:szCs w:val="18"/>
              </w:rPr>
              <w:t>ncing business performance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Analyzin</w:t>
            </w:r>
            <w:r w:rsidR="00C5520E">
              <w:rPr>
                <w:rFonts w:ascii="Tahoma" w:hAnsi="Tahoma" w:cs="Tahoma"/>
                <w:sz w:val="18"/>
                <w:szCs w:val="18"/>
              </w:rPr>
              <w:t>g competitors and market trends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Developing financial management mechanis</w:t>
            </w:r>
            <w:r w:rsidR="00C5520E">
              <w:rPr>
                <w:rFonts w:ascii="Tahoma" w:hAnsi="Tahoma" w:cs="Tahoma"/>
                <w:sz w:val="18"/>
                <w:szCs w:val="18"/>
              </w:rPr>
              <w:t>ms that minimize financial risk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Conducting reviews and evaluations f</w:t>
            </w:r>
            <w:r w:rsidR="00C5520E">
              <w:rPr>
                <w:rFonts w:ascii="Tahoma" w:hAnsi="Tahoma" w:cs="Tahoma"/>
                <w:sz w:val="18"/>
                <w:szCs w:val="18"/>
              </w:rPr>
              <w:t>or cost-reduction opportunities</w:t>
            </w:r>
          </w:p>
          <w:p w:rsidR="0039176D" w:rsidRPr="0039176D" w:rsidRDefault="00C7519C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Managing </w:t>
            </w:r>
            <w:r w:rsidR="0039176D" w:rsidRPr="003917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group</w:t>
            </w:r>
            <w:r w:rsidR="0039176D" w:rsidRPr="0039176D">
              <w:rPr>
                <w:rFonts w:ascii="Tahoma" w:hAnsi="Tahoma" w:cs="Tahoma"/>
                <w:sz w:val="18"/>
                <w:szCs w:val="18"/>
              </w:rPr>
              <w:t>'s financial accounting, m</w:t>
            </w:r>
            <w:r w:rsidR="00C5520E">
              <w:rPr>
                <w:rFonts w:ascii="Tahoma" w:hAnsi="Tahoma" w:cs="Tahoma"/>
                <w:sz w:val="18"/>
                <w:szCs w:val="18"/>
              </w:rPr>
              <w:t>onitoring and reporting systems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Liaising with auditors to ensure a</w:t>
            </w:r>
            <w:r w:rsidR="00C5520E">
              <w:rPr>
                <w:rFonts w:ascii="Tahoma" w:hAnsi="Tahoma" w:cs="Tahoma"/>
                <w:sz w:val="18"/>
                <w:szCs w:val="18"/>
              </w:rPr>
              <w:t>nnual monitoring is carried out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Developing external relationships with appropriate contacts, e.g</w:t>
            </w:r>
            <w:r w:rsidR="00C7519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D7F30">
              <w:rPr>
                <w:rFonts w:ascii="Tahoma" w:hAnsi="Tahoma" w:cs="Tahoma"/>
                <w:sz w:val="18"/>
                <w:szCs w:val="18"/>
              </w:rPr>
              <w:t>suppliers</w:t>
            </w:r>
            <w:r w:rsidR="00C7519C">
              <w:rPr>
                <w:rFonts w:ascii="Tahoma" w:hAnsi="Tahoma" w:cs="Tahoma"/>
                <w:sz w:val="18"/>
                <w:szCs w:val="18"/>
              </w:rPr>
              <w:t>, bankers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 xml:space="preserve">Arranging new sources of finance </w:t>
            </w:r>
            <w:r w:rsidR="00C5520E">
              <w:rPr>
                <w:rFonts w:ascii="Tahoma" w:hAnsi="Tahoma" w:cs="Tahoma"/>
                <w:sz w:val="18"/>
                <w:szCs w:val="18"/>
              </w:rPr>
              <w:t>for a company's debt facilities</w:t>
            </w:r>
            <w:r w:rsidR="004D7F30">
              <w:rPr>
                <w:rFonts w:ascii="Tahoma" w:hAnsi="Tahoma" w:cs="Tahoma"/>
                <w:sz w:val="18"/>
                <w:szCs w:val="18"/>
              </w:rPr>
              <w:t xml:space="preserve"> and managing budgets</w:t>
            </w:r>
          </w:p>
          <w:p w:rsidR="0039176D" w:rsidRPr="0039176D" w:rsidRDefault="00C5520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Supervising staff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Keeping abreast of changes in financial regulations and legislation</w:t>
            </w:r>
          </w:p>
          <w:p w:rsidR="0039176D" w:rsidRPr="0039176D" w:rsidRDefault="0039176D" w:rsidP="00C5520E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F84C80" w:rsidRDefault="0039176D" w:rsidP="00C5520E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Performed a key role in implementing  a new ERP system - SAP Business One</w:t>
            </w:r>
            <w:r w:rsidR="00F84C8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5520E" w:rsidRPr="00C5520E" w:rsidRDefault="00C5520E" w:rsidP="00C5520E">
            <w:pPr>
              <w:spacing w:before="40" w:after="40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5520E">
              <w:rPr>
                <w:rFonts w:ascii="Tahoma" w:hAnsi="Tahoma" w:cs="Tahoma"/>
                <w:i/>
                <w:iCs/>
                <w:sz w:val="18"/>
                <w:szCs w:val="18"/>
              </w:rPr>
              <w:t>Roles &amp; Responsibilities</w:t>
            </w:r>
            <w:r w:rsidR="008D2F1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- SAP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Expert functional and technical knowledge of SAP financial modules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Project preparation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Sizing and blueprinting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SAP functional development</w:t>
            </w:r>
          </w:p>
          <w:p w:rsidR="0039176D" w:rsidRDefault="0039176D" w:rsidP="008A7C1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Final Preparation</w:t>
            </w:r>
          </w:p>
          <w:p w:rsidR="00B57BB2" w:rsidRPr="0039176D" w:rsidRDefault="00B57BB2" w:rsidP="00B57BB2">
            <w:pPr>
              <w:pStyle w:val="ListParagraph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76D" w:rsidTr="00F84C80">
        <w:trPr>
          <w:trHeight w:val="278"/>
        </w:trPr>
        <w:tc>
          <w:tcPr>
            <w:tcW w:w="971" w:type="pct"/>
            <w:tcBorders>
              <w:top w:val="single" w:sz="4" w:space="0" w:color="7F7F7F" w:themeColor="text1" w:themeTint="80"/>
              <w:left w:val="nil"/>
              <w:bottom w:val="single" w:sz="4" w:space="0" w:color="FFFFFF" w:themeColor="background1"/>
            </w:tcBorders>
            <w:tcMar>
              <w:left w:w="72" w:type="dxa"/>
              <w:right w:w="72" w:type="dxa"/>
            </w:tcMar>
          </w:tcPr>
          <w:p w:rsidR="0039176D" w:rsidRDefault="0039176D" w:rsidP="004344D0">
            <w:pPr>
              <w:spacing w:before="80" w:after="80"/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Advanced Baking Concept LLC</w:t>
            </w:r>
          </w:p>
          <w:p w:rsidR="00E70E74" w:rsidRPr="00E70E74" w:rsidRDefault="00E70E74" w:rsidP="004344D0">
            <w:pPr>
              <w:spacing w:before="80" w:after="80"/>
              <w:rPr>
                <w:rFonts w:ascii="Webdings" w:hAnsi="Webdings" w:cs="Tahoma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E70E74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ProBake</w:t>
            </w:r>
            <w:proofErr w:type="spellEnd"/>
            <w:r w:rsidR="003D0DC9" w:rsidRPr="003D0DC9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029" w:type="pct"/>
            <w:tcBorders>
              <w:top w:val="single" w:sz="4" w:space="0" w:color="7F7F7F" w:themeColor="text1" w:themeTint="80"/>
              <w:bottom w:val="single" w:sz="4" w:space="0" w:color="FFFFFF" w:themeColor="background1"/>
              <w:right w:val="nil"/>
            </w:tcBorders>
            <w:tcMar>
              <w:left w:w="72" w:type="dxa"/>
              <w:right w:w="72" w:type="dxa"/>
            </w:tcMar>
          </w:tcPr>
          <w:p w:rsidR="00F9453B" w:rsidRPr="006B16A6" w:rsidRDefault="00C353F3" w:rsidP="004344D0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53F3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Specializing in providing a dependable and cost efficient high quality bakery and pastry solutions to the food industry, ABC is</w:t>
            </w:r>
            <w:r w:rsidR="00E70E74" w:rsidRPr="00E70E74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the first frozen bread and pastry manufacturer of its kind in the GCC</w:t>
            </w:r>
            <w:r w:rsidR="00E70E74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8A7C14" w:rsidTr="00F84C80">
        <w:trPr>
          <w:trHeight w:val="278"/>
        </w:trPr>
        <w:tc>
          <w:tcPr>
            <w:tcW w:w="971" w:type="pct"/>
            <w:tcBorders>
              <w:top w:val="single" w:sz="4" w:space="0" w:color="FFFFFF" w:themeColor="background1"/>
              <w:left w:val="nil"/>
              <w:bottom w:val="single" w:sz="4" w:space="0" w:color="7F7F7F" w:themeColor="text1" w:themeTint="80"/>
            </w:tcBorders>
            <w:tcMar>
              <w:left w:w="72" w:type="dxa"/>
              <w:right w:w="72" w:type="dxa"/>
            </w:tcMar>
          </w:tcPr>
          <w:p w:rsidR="008A7C14" w:rsidRDefault="008A7C14" w:rsidP="008A7C14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Senior Accountant</w:t>
            </w:r>
          </w:p>
          <w:p w:rsidR="008A7C14" w:rsidRDefault="008A7C14" w:rsidP="008A7C14">
            <w:pPr>
              <w:spacing w:before="80" w:after="80"/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Dec 08- Dec 12</w:t>
            </w:r>
          </w:p>
        </w:tc>
        <w:tc>
          <w:tcPr>
            <w:tcW w:w="4029" w:type="pct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nil"/>
            </w:tcBorders>
            <w:tcMar>
              <w:left w:w="72" w:type="dxa"/>
              <w:right w:w="72" w:type="dxa"/>
            </w:tcMar>
          </w:tcPr>
          <w:p w:rsidR="008A7C14" w:rsidRPr="0039176D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Compil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and analyz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financial information to prepare financial statements including monthly and annual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management </w:t>
            </w:r>
            <w:r w:rsidRPr="0039176D">
              <w:rPr>
                <w:rFonts w:ascii="Tahoma" w:hAnsi="Tahoma" w:cs="Tahoma"/>
                <w:sz w:val="18"/>
                <w:szCs w:val="18"/>
              </w:rPr>
              <w:t>accounts</w:t>
            </w:r>
          </w:p>
          <w:p w:rsidR="008A7C14" w:rsidRPr="0039176D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Ensure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financial records are maintained in compliance with accepted policies and procedures</w:t>
            </w:r>
          </w:p>
          <w:p w:rsidR="008A7C14" w:rsidRPr="0039176D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Preparation of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financial management reports</w:t>
            </w:r>
          </w:p>
          <w:p w:rsidR="008A7C14" w:rsidRPr="0039176D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Ensure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accurate and timely monthly, quarterly and year end close</w:t>
            </w:r>
          </w:p>
          <w:p w:rsidR="008A7C14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Establish</w:t>
            </w:r>
            <w:r>
              <w:rPr>
                <w:rFonts w:ascii="Tahoma" w:hAnsi="Tahoma" w:cs="Tahoma"/>
                <w:sz w:val="18"/>
                <w:szCs w:val="18"/>
              </w:rPr>
              <w:t>ed,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implement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overall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control procedures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ensured it appropriately adhered</w:t>
            </w:r>
          </w:p>
          <w:p w:rsidR="008A7C14" w:rsidRPr="0039176D" w:rsidRDefault="008A7C14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Resolve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accounting discrepancies and irregularities</w:t>
            </w:r>
          </w:p>
          <w:p w:rsidR="008A7C14" w:rsidRPr="00F84C80" w:rsidRDefault="008A7C14" w:rsidP="00F84C80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Continuous management and support of budget and forecast activities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7C1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(continued.)</w:t>
            </w:r>
          </w:p>
        </w:tc>
      </w:tr>
      <w:tr w:rsidR="0039176D" w:rsidTr="00F84C80">
        <w:trPr>
          <w:trHeight w:val="2097"/>
        </w:trPr>
        <w:tc>
          <w:tcPr>
            <w:tcW w:w="9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tcMar>
              <w:left w:w="72" w:type="dxa"/>
              <w:right w:w="72" w:type="dxa"/>
            </w:tcMar>
          </w:tcPr>
          <w:p w:rsidR="00C5520E" w:rsidRPr="0039176D" w:rsidRDefault="00C5520E" w:rsidP="004D7F30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tcMar>
              <w:left w:w="72" w:type="dxa"/>
              <w:right w:w="72" w:type="dxa"/>
            </w:tcMar>
          </w:tcPr>
          <w:p w:rsidR="0039176D" w:rsidRPr="0039176D" w:rsidRDefault="004D7F30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Coordinated with auditors and ensured statutory audits were conducted on timely manner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Ensure</w:t>
            </w:r>
            <w:r w:rsidR="0051474B"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accurate and appropriate recording and analysis of revenues and expenses</w:t>
            </w:r>
          </w:p>
          <w:p w:rsidR="0039176D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Analyze</w:t>
            </w:r>
            <w:r w:rsidR="0051474B"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and advise</w:t>
            </w:r>
            <w:r w:rsidR="0051474B"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on business operations including revenue and expenditure trends, financial commitments and future revenues</w:t>
            </w:r>
          </w:p>
          <w:p w:rsidR="00E70E74" w:rsidRPr="0039176D" w:rsidRDefault="0039176D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176D">
              <w:rPr>
                <w:rFonts w:ascii="Tahoma" w:hAnsi="Tahoma" w:cs="Tahoma"/>
                <w:sz w:val="18"/>
                <w:szCs w:val="18"/>
              </w:rPr>
              <w:t>Analyze</w:t>
            </w:r>
            <w:r w:rsidR="0051474B">
              <w:rPr>
                <w:rFonts w:ascii="Tahoma" w:hAnsi="Tahoma" w:cs="Tahoma"/>
                <w:sz w:val="18"/>
                <w:szCs w:val="18"/>
              </w:rPr>
              <w:t>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financial information to recommend or develop efficient use of resources and procedures, provide strategic recommendations and maintain</w:t>
            </w:r>
            <w:r w:rsidR="0051474B">
              <w:rPr>
                <w:rFonts w:ascii="Tahoma" w:hAnsi="Tahoma" w:cs="Tahoma"/>
                <w:sz w:val="18"/>
                <w:szCs w:val="18"/>
              </w:rPr>
              <w:t>ed</w:t>
            </w:r>
            <w:r w:rsidRPr="0039176D">
              <w:rPr>
                <w:rFonts w:ascii="Tahoma" w:hAnsi="Tahoma" w:cs="Tahoma"/>
                <w:sz w:val="18"/>
                <w:szCs w:val="18"/>
              </w:rPr>
              <w:t xml:space="preserve"> solutions to business and financial problems</w:t>
            </w:r>
          </w:p>
        </w:tc>
      </w:tr>
      <w:tr w:rsidR="00564CD8" w:rsidRPr="003C361B" w:rsidTr="00F9453B">
        <w:tc>
          <w:tcPr>
            <w:tcW w:w="971" w:type="pct"/>
            <w:tcBorders>
              <w:top w:val="single" w:sz="4" w:space="0" w:color="7F7F7F" w:themeColor="text1" w:themeTint="80"/>
              <w:bottom w:val="nil"/>
            </w:tcBorders>
            <w:tcMar>
              <w:left w:w="72" w:type="dxa"/>
              <w:right w:w="72" w:type="dxa"/>
            </w:tcMar>
          </w:tcPr>
          <w:p w:rsidR="00564CD8" w:rsidRPr="00334360" w:rsidRDefault="00564CD8" w:rsidP="006C613F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C06C63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KPMG</w:t>
            </w:r>
            <w:r w:rsidR="006C613F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C06C63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Sri Lanka</w:t>
            </w:r>
          </w:p>
        </w:tc>
        <w:tc>
          <w:tcPr>
            <w:tcW w:w="4029" w:type="pct"/>
            <w:tcBorders>
              <w:top w:val="single" w:sz="4" w:space="0" w:color="7F7F7F" w:themeColor="text1" w:themeTint="80"/>
              <w:bottom w:val="nil"/>
            </w:tcBorders>
            <w:tcMar>
              <w:left w:w="72" w:type="dxa"/>
              <w:right w:w="72" w:type="dxa"/>
            </w:tcMar>
          </w:tcPr>
          <w:p w:rsidR="00564CD8" w:rsidRPr="006B16A6" w:rsidRDefault="00564CD8" w:rsidP="00E908E0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3688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KPMG Sri Lanka is part of KPMG Global and market leader in Sri Lanka providing audit and advisory services with a client base of more than 600 entities.</w:t>
            </w:r>
          </w:p>
        </w:tc>
      </w:tr>
      <w:tr w:rsidR="00564CD8" w:rsidRPr="003C361B" w:rsidTr="00FC362C">
        <w:tc>
          <w:tcPr>
            <w:tcW w:w="97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564CD8" w:rsidRPr="006B16A6" w:rsidRDefault="00564CD8" w:rsidP="00FC362C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6B16A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Audit Supervisor</w:t>
            </w:r>
          </w:p>
          <w:p w:rsidR="00564CD8" w:rsidRPr="006B16A6" w:rsidRDefault="00B57BB2" w:rsidP="004D7F30">
            <w:pPr>
              <w:spacing w:before="80" w:after="8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Jun </w:t>
            </w:r>
            <w:r w:rsidR="00564CD8" w:rsidRPr="006B16A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4</w:t>
            </w:r>
            <w:r w:rsidR="00564CD8" w:rsidRPr="006B16A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–</w:t>
            </w:r>
            <w:r w:rsidR="004D7F30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Sep</w:t>
            </w:r>
            <w:r w:rsidR="00564CD8" w:rsidRPr="006B16A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08</w:t>
            </w:r>
          </w:p>
        </w:tc>
        <w:tc>
          <w:tcPr>
            <w:tcW w:w="402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564CD8" w:rsidRPr="006B16A6" w:rsidRDefault="00564CD8" w:rsidP="00E07FF9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0271">
              <w:rPr>
                <w:rFonts w:ascii="Tahoma" w:hAnsi="Tahoma" w:cs="Tahoma"/>
                <w:sz w:val="18"/>
                <w:szCs w:val="18"/>
              </w:rPr>
              <w:t xml:space="preserve">Part of KPMG Sri Lanka Audit &amp; Assurance team for more than </w:t>
            </w:r>
            <w:r w:rsidR="00E07FF9">
              <w:rPr>
                <w:rFonts w:ascii="Tahoma" w:hAnsi="Tahoma" w:cs="Tahoma"/>
                <w:sz w:val="18"/>
                <w:szCs w:val="18"/>
              </w:rPr>
              <w:t>4</w:t>
            </w:r>
            <w:r w:rsidRPr="00660271">
              <w:rPr>
                <w:rFonts w:ascii="Tahoma" w:hAnsi="Tahoma" w:cs="Tahoma"/>
                <w:sz w:val="18"/>
                <w:szCs w:val="18"/>
              </w:rPr>
              <w:t xml:space="preserve"> years and during that period also conducted in-house training.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0271">
              <w:rPr>
                <w:rFonts w:ascii="Tahoma" w:hAnsi="Tahoma" w:cs="Tahoma"/>
                <w:sz w:val="18"/>
                <w:szCs w:val="18"/>
              </w:rPr>
              <w:t>Performed statutory audits for banking and finance, hospitality, insurance, construction, airlines and oil industry clients. Specializ</w:t>
            </w:r>
            <w:r w:rsidR="00FC362C">
              <w:rPr>
                <w:rFonts w:ascii="Tahoma" w:hAnsi="Tahoma" w:cs="Tahoma"/>
                <w:sz w:val="18"/>
                <w:szCs w:val="18"/>
              </w:rPr>
              <w:t>ed</w:t>
            </w:r>
            <w:r w:rsidRPr="00660271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660271">
              <w:rPr>
                <w:rFonts w:ascii="Tahoma" w:hAnsi="Tahoma" w:cs="Tahoma"/>
                <w:sz w:val="18"/>
                <w:szCs w:val="18"/>
              </w:rPr>
              <w:t xml:space="preserve">anking and </w:t>
            </w:r>
            <w:r w:rsidR="00E07FF9" w:rsidRPr="00660271">
              <w:rPr>
                <w:rFonts w:ascii="Tahoma" w:hAnsi="Tahoma" w:cs="Tahoma"/>
                <w:sz w:val="18"/>
                <w:szCs w:val="18"/>
              </w:rPr>
              <w:t>hospitality</w:t>
            </w:r>
            <w:r w:rsidRPr="00660271">
              <w:rPr>
                <w:rFonts w:ascii="Tahoma" w:hAnsi="Tahoma" w:cs="Tahoma"/>
                <w:sz w:val="18"/>
                <w:szCs w:val="18"/>
              </w:rPr>
              <w:t xml:space="preserve"> sector.</w:t>
            </w:r>
          </w:p>
        </w:tc>
      </w:tr>
      <w:tr w:rsidR="009F156E" w:rsidTr="00F9453B">
        <w:tc>
          <w:tcPr>
            <w:tcW w:w="971" w:type="pct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9F156E" w:rsidRPr="006B16A6" w:rsidRDefault="009F156E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6B16A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Roles &amp; Responsibilities</w:t>
            </w:r>
          </w:p>
          <w:p w:rsidR="009F156E" w:rsidRPr="006B16A6" w:rsidRDefault="009F156E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29" w:type="pct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 xml:space="preserve">Audit planning, team allocation, planning </w:t>
            </w:r>
            <w:r w:rsidR="00F57F90">
              <w:rPr>
                <w:rFonts w:ascii="Tahoma" w:hAnsi="Tahoma" w:cs="Tahoma"/>
                <w:sz w:val="18"/>
                <w:szCs w:val="18"/>
              </w:rPr>
              <w:t>of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scope, extent of procedures to be performed and evaluating design of controls</w:t>
            </w:r>
          </w:p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>Review</w:t>
            </w:r>
            <w:r w:rsidR="003C361B">
              <w:rPr>
                <w:rFonts w:ascii="Tahoma" w:hAnsi="Tahoma" w:cs="Tahoma"/>
                <w:sz w:val="18"/>
                <w:szCs w:val="18"/>
              </w:rPr>
              <w:t>ed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work performed by audit team and decid</w:t>
            </w:r>
            <w:r w:rsidR="00F57F90">
              <w:rPr>
                <w:rFonts w:ascii="Tahoma" w:hAnsi="Tahoma" w:cs="Tahoma"/>
                <w:sz w:val="18"/>
                <w:szCs w:val="18"/>
              </w:rPr>
              <w:t>ed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on extent of substantive analytical procedures and </w:t>
            </w:r>
            <w:r>
              <w:rPr>
                <w:rFonts w:ascii="Tahoma" w:hAnsi="Tahoma" w:cs="Tahoma"/>
                <w:sz w:val="18"/>
                <w:szCs w:val="18"/>
              </w:rPr>
              <w:t>test of details to be performed</w:t>
            </w:r>
          </w:p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>Comm</w:t>
            </w:r>
            <w:r>
              <w:rPr>
                <w:rFonts w:ascii="Tahoma" w:hAnsi="Tahoma" w:cs="Tahoma"/>
                <w:sz w:val="18"/>
                <w:szCs w:val="18"/>
              </w:rPr>
              <w:t>unicat</w:t>
            </w:r>
            <w:r w:rsidR="00F57F90">
              <w:rPr>
                <w:rFonts w:ascii="Tahoma" w:hAnsi="Tahoma" w:cs="Tahoma"/>
                <w:sz w:val="18"/>
                <w:szCs w:val="18"/>
              </w:rPr>
              <w:t>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with client and </w:t>
            </w:r>
            <w:r w:rsidRPr="006B16A6">
              <w:rPr>
                <w:rFonts w:ascii="Tahoma" w:hAnsi="Tahoma" w:cs="Tahoma"/>
                <w:sz w:val="18"/>
                <w:szCs w:val="18"/>
              </w:rPr>
              <w:t>audit team to ensure timely completion of aud</w:t>
            </w:r>
            <w:r>
              <w:rPr>
                <w:rFonts w:ascii="Tahoma" w:hAnsi="Tahoma" w:cs="Tahoma"/>
                <w:sz w:val="18"/>
                <w:szCs w:val="18"/>
              </w:rPr>
              <w:t>it work and client deliverables</w:t>
            </w:r>
          </w:p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>Drafting audit and other reports in accordance with statutory rules, aud</w:t>
            </w:r>
            <w:r>
              <w:rPr>
                <w:rFonts w:ascii="Tahoma" w:hAnsi="Tahoma" w:cs="Tahoma"/>
                <w:sz w:val="18"/>
                <w:szCs w:val="18"/>
              </w:rPr>
              <w:t>iting standards and firm policy</w:t>
            </w:r>
          </w:p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 xml:space="preserve">Preparation of financial statements including consolidations as part of </w:t>
            </w:r>
            <w:r>
              <w:rPr>
                <w:rFonts w:ascii="Tahoma" w:hAnsi="Tahoma" w:cs="Tahoma"/>
                <w:sz w:val="18"/>
                <w:szCs w:val="18"/>
              </w:rPr>
              <w:t>audit</w:t>
            </w:r>
          </w:p>
          <w:p w:rsidR="009F156E" w:rsidRPr="006B16A6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>Advi</w:t>
            </w:r>
            <w:r w:rsidR="003C361B">
              <w:rPr>
                <w:rFonts w:ascii="Tahoma" w:hAnsi="Tahoma" w:cs="Tahoma"/>
                <w:sz w:val="18"/>
                <w:szCs w:val="18"/>
              </w:rPr>
              <w:t>sed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clients </w:t>
            </w:r>
            <w:r>
              <w:rPr>
                <w:rFonts w:ascii="Tahoma" w:hAnsi="Tahoma" w:cs="Tahoma"/>
                <w:sz w:val="18"/>
                <w:szCs w:val="18"/>
              </w:rPr>
              <w:t>on their regulatory obligations</w:t>
            </w:r>
          </w:p>
          <w:p w:rsidR="009F156E" w:rsidRDefault="009F156E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16A6">
              <w:rPr>
                <w:rFonts w:ascii="Tahoma" w:hAnsi="Tahoma" w:cs="Tahoma"/>
                <w:sz w:val="18"/>
                <w:szCs w:val="18"/>
              </w:rPr>
              <w:t>Review</w:t>
            </w:r>
            <w:r w:rsidR="003C361B">
              <w:rPr>
                <w:rFonts w:ascii="Tahoma" w:hAnsi="Tahoma" w:cs="Tahoma"/>
                <w:sz w:val="18"/>
                <w:szCs w:val="18"/>
              </w:rPr>
              <w:t>ed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analyze</w:t>
            </w:r>
            <w:r w:rsidR="003C361B">
              <w:rPr>
                <w:rFonts w:ascii="Tahoma" w:hAnsi="Tahoma" w:cs="Tahoma"/>
                <w:sz w:val="18"/>
                <w:szCs w:val="18"/>
              </w:rPr>
              <w:t>d</w:t>
            </w:r>
            <w:r w:rsidRPr="006B16A6">
              <w:rPr>
                <w:rFonts w:ascii="Tahoma" w:hAnsi="Tahoma" w:cs="Tahoma"/>
                <w:sz w:val="18"/>
                <w:szCs w:val="18"/>
              </w:rPr>
              <w:t xml:space="preserve"> internal control weakness</w:t>
            </w:r>
            <w:r>
              <w:rPr>
                <w:rFonts w:ascii="Tahoma" w:hAnsi="Tahoma" w:cs="Tahoma"/>
                <w:sz w:val="18"/>
                <w:szCs w:val="18"/>
              </w:rPr>
              <w:t>es and report</w:t>
            </w:r>
            <w:r w:rsidR="003C361B">
              <w:rPr>
                <w:rFonts w:ascii="Tahoma" w:hAnsi="Tahoma" w:cs="Tahoma"/>
                <w:sz w:val="18"/>
                <w:szCs w:val="18"/>
              </w:rPr>
              <w:t>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management</w:t>
            </w:r>
          </w:p>
          <w:p w:rsidR="006C33A7" w:rsidRDefault="006C33A7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4CD8">
              <w:rPr>
                <w:rFonts w:ascii="Tahoma" w:hAnsi="Tahoma" w:cs="Tahoma"/>
                <w:sz w:val="18"/>
                <w:szCs w:val="18"/>
              </w:rPr>
              <w:t xml:space="preserve">Conducted in-house training </w:t>
            </w:r>
            <w:r w:rsidR="00F57F90" w:rsidRPr="00564CD8">
              <w:rPr>
                <w:rFonts w:ascii="Tahoma" w:hAnsi="Tahoma" w:cs="Tahoma"/>
                <w:sz w:val="18"/>
                <w:szCs w:val="18"/>
              </w:rPr>
              <w:t>for</w:t>
            </w:r>
            <w:r w:rsidR="009D6FE6" w:rsidRPr="00564CD8">
              <w:rPr>
                <w:rFonts w:ascii="Tahoma" w:hAnsi="Tahoma" w:cs="Tahoma"/>
                <w:sz w:val="18"/>
                <w:szCs w:val="18"/>
              </w:rPr>
              <w:t xml:space="preserve"> new joiners and existing staff on audit methodology </w:t>
            </w:r>
          </w:p>
          <w:p w:rsidR="004D7F30" w:rsidRPr="00564CD8" w:rsidRDefault="004D7F30" w:rsidP="008A7C14">
            <w:pPr>
              <w:pStyle w:val="ListParagraph"/>
              <w:spacing w:before="60" w:after="60"/>
              <w:ind w:left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7615" w:rsidRDefault="00A47615" w:rsidP="008A7C14">
      <w:pPr>
        <w:spacing w:before="60" w:after="60" w:line="240" w:lineRule="auto"/>
        <w:rPr>
          <w:rFonts w:ascii="Tahoma" w:hAnsi="Tahoma" w:cs="Tahoma"/>
          <w:sz w:val="18"/>
          <w:szCs w:val="18"/>
        </w:rPr>
      </w:pPr>
    </w:p>
    <w:p w:rsidR="005F43CB" w:rsidRPr="00420E0C" w:rsidRDefault="005F43CB" w:rsidP="008A7C14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420E0C">
        <w:rPr>
          <w:rFonts w:ascii="Tahoma" w:hAnsi="Tahoma" w:cs="Tahoma"/>
          <w:b/>
          <w:bCs/>
          <w:sz w:val="20"/>
          <w:szCs w:val="20"/>
        </w:rPr>
        <w:t>Education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392"/>
      </w:tblGrid>
      <w:tr w:rsidR="00E07FF9" w:rsidTr="006C33A7">
        <w:trPr>
          <w:trHeight w:val="368"/>
        </w:trPr>
        <w:tc>
          <w:tcPr>
            <w:tcW w:w="971" w:type="pct"/>
            <w:vMerge w:val="restar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07FF9" w:rsidRPr="008114C6" w:rsidRDefault="00E07FF9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8114C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Professional Qualifications</w:t>
            </w:r>
          </w:p>
        </w:tc>
        <w:tc>
          <w:tcPr>
            <w:tcW w:w="4029" w:type="pc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07FF9" w:rsidRPr="00E07FF9" w:rsidRDefault="00E07FF9" w:rsidP="008A7C14">
            <w:pPr>
              <w:pStyle w:val="ListParagraph"/>
              <w:numPr>
                <w:ilvl w:val="0"/>
                <w:numId w:val="4"/>
              </w:numPr>
              <w:spacing w:before="60" w:after="60"/>
              <w:ind w:left="289" w:hanging="27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06C63">
              <w:rPr>
                <w:rFonts w:ascii="Tahoma" w:hAnsi="Tahoma" w:cs="Tahoma"/>
                <w:b/>
                <w:bCs/>
                <w:sz w:val="18"/>
                <w:szCs w:val="18"/>
              </w:rPr>
              <w:t>Chartered Accountants of Sri Lanka (2003 – 200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C06C63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77C91">
              <w:rPr>
                <w:rFonts w:ascii="Tahoma" w:hAnsi="Tahoma" w:cs="Tahoma"/>
                <w:sz w:val="18"/>
                <w:szCs w:val="18"/>
              </w:rPr>
              <w:t>- Member (CA)</w:t>
            </w:r>
          </w:p>
        </w:tc>
      </w:tr>
      <w:tr w:rsidR="00E07FF9" w:rsidTr="008E6684">
        <w:tc>
          <w:tcPr>
            <w:tcW w:w="971" w:type="pct"/>
            <w:vMerge/>
            <w:tcBorders>
              <w:bottom w:val="nil"/>
            </w:tcBorders>
            <w:tcMar>
              <w:left w:w="72" w:type="dxa"/>
              <w:right w:w="72" w:type="dxa"/>
            </w:tcMar>
          </w:tcPr>
          <w:p w:rsidR="00E07FF9" w:rsidRPr="00C06C63" w:rsidRDefault="00E07FF9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29" w:type="pct"/>
            <w:tcBorders>
              <w:bottom w:val="nil"/>
            </w:tcBorders>
            <w:tcMar>
              <w:left w:w="72" w:type="dxa"/>
              <w:right w:w="72" w:type="dxa"/>
            </w:tcMar>
          </w:tcPr>
          <w:p w:rsidR="00E07FF9" w:rsidRPr="00C06C63" w:rsidRDefault="00E07FF9" w:rsidP="008A7C14">
            <w:pPr>
              <w:pStyle w:val="ListParagraph"/>
              <w:numPr>
                <w:ilvl w:val="0"/>
                <w:numId w:val="4"/>
              </w:numPr>
              <w:spacing w:before="60" w:after="60"/>
              <w:ind w:left="289" w:hanging="2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6C63">
              <w:rPr>
                <w:rFonts w:ascii="Tahoma" w:hAnsi="Tahoma" w:cs="Tahoma"/>
                <w:b/>
                <w:bCs/>
                <w:sz w:val="18"/>
                <w:szCs w:val="18"/>
              </w:rPr>
              <w:t>Institute of Certified Management Accountants of Sri Lanka (2008)</w:t>
            </w:r>
            <w:r w:rsidRPr="00C77C91">
              <w:rPr>
                <w:rFonts w:ascii="Tahoma" w:hAnsi="Tahoma" w:cs="Tahoma"/>
                <w:sz w:val="18"/>
                <w:szCs w:val="18"/>
              </w:rPr>
              <w:t xml:space="preserve"> - ACMA</w:t>
            </w:r>
          </w:p>
        </w:tc>
      </w:tr>
      <w:tr w:rsidR="00E07FF9" w:rsidTr="00E07FF9">
        <w:trPr>
          <w:trHeight w:val="57"/>
        </w:trPr>
        <w:tc>
          <w:tcPr>
            <w:tcW w:w="971" w:type="pct"/>
            <w:tcBorders>
              <w:top w:val="nil"/>
              <w:bottom w:val="single" w:sz="4" w:space="0" w:color="7F7F7F" w:themeColor="text1" w:themeTint="80"/>
            </w:tcBorders>
            <w:tcMar>
              <w:left w:w="72" w:type="dxa"/>
              <w:right w:w="72" w:type="dxa"/>
            </w:tcMar>
          </w:tcPr>
          <w:p w:rsidR="00E07FF9" w:rsidRPr="00C06C63" w:rsidRDefault="00E07FF9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29" w:type="pct"/>
            <w:tcBorders>
              <w:top w:val="nil"/>
              <w:bottom w:val="single" w:sz="4" w:space="0" w:color="7F7F7F" w:themeColor="text1" w:themeTint="80"/>
            </w:tcBorders>
            <w:tcMar>
              <w:left w:w="72" w:type="dxa"/>
              <w:right w:w="72" w:type="dxa"/>
            </w:tcMar>
          </w:tcPr>
          <w:p w:rsidR="00E07FF9" w:rsidRPr="00E07FF9" w:rsidRDefault="00E07FF9" w:rsidP="008A7C1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FF9" w:rsidTr="008E6684">
        <w:tc>
          <w:tcPr>
            <w:tcW w:w="971" w:type="pct"/>
            <w:tcBorders>
              <w:top w:val="single" w:sz="4" w:space="0" w:color="7F7F7F" w:themeColor="text1" w:themeTint="80"/>
              <w:bottom w:val="nil"/>
            </w:tcBorders>
            <w:tcMar>
              <w:left w:w="72" w:type="dxa"/>
              <w:right w:w="72" w:type="dxa"/>
            </w:tcMar>
          </w:tcPr>
          <w:p w:rsidR="00E07FF9" w:rsidRPr="008114C6" w:rsidRDefault="00E07FF9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8114C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Academic Background</w:t>
            </w:r>
          </w:p>
        </w:tc>
        <w:tc>
          <w:tcPr>
            <w:tcW w:w="4029" w:type="pct"/>
            <w:tcBorders>
              <w:top w:val="single" w:sz="4" w:space="0" w:color="7F7F7F" w:themeColor="text1" w:themeTint="80"/>
              <w:bottom w:val="nil"/>
            </w:tcBorders>
            <w:tcMar>
              <w:left w:w="72" w:type="dxa"/>
              <w:right w:w="72" w:type="dxa"/>
            </w:tcMar>
          </w:tcPr>
          <w:p w:rsidR="00E07FF9" w:rsidRDefault="00E07FF9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252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797">
              <w:rPr>
                <w:rFonts w:ascii="Tahoma" w:hAnsi="Tahoma" w:cs="Tahoma"/>
                <w:sz w:val="18"/>
                <w:szCs w:val="18"/>
              </w:rPr>
              <w:t>G.C.E. Advanced Level (200</w:t>
            </w:r>
            <w:r w:rsidR="00B35C9C" w:rsidRPr="003A7797">
              <w:rPr>
                <w:rFonts w:ascii="Tahoma" w:hAnsi="Tahoma" w:cs="Tahoma"/>
                <w:sz w:val="18"/>
                <w:szCs w:val="18"/>
              </w:rPr>
              <w:t>2</w:t>
            </w:r>
            <w:r w:rsidRPr="003A779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07FF9" w:rsidRPr="00C06C63" w:rsidRDefault="00B35C9C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252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797">
              <w:rPr>
                <w:rFonts w:ascii="Tahoma" w:hAnsi="Tahoma" w:cs="Tahoma"/>
                <w:sz w:val="18"/>
                <w:szCs w:val="18"/>
              </w:rPr>
              <w:t>G.C.E Ordinary Level (1999)</w:t>
            </w:r>
          </w:p>
        </w:tc>
      </w:tr>
      <w:tr w:rsidR="00E07FF9" w:rsidTr="008E6684">
        <w:tc>
          <w:tcPr>
            <w:tcW w:w="971" w:type="pct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07FF9" w:rsidRPr="00C06C63" w:rsidRDefault="00E07FF9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029" w:type="pct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07FF9" w:rsidRPr="00B35C9C" w:rsidRDefault="00E07FF9" w:rsidP="008A7C1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43CB" w:rsidRDefault="005F43CB" w:rsidP="008A7C14">
      <w:pPr>
        <w:spacing w:before="60" w:after="60" w:line="240" w:lineRule="auto"/>
        <w:rPr>
          <w:rFonts w:ascii="Tahoma" w:hAnsi="Tahoma" w:cs="Tahoma"/>
          <w:sz w:val="18"/>
          <w:szCs w:val="18"/>
        </w:rPr>
      </w:pPr>
    </w:p>
    <w:p w:rsidR="00AA6458" w:rsidRPr="000765BC" w:rsidRDefault="009F720A" w:rsidP="008A7C14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0765BC">
        <w:rPr>
          <w:rFonts w:ascii="Tahoma" w:hAnsi="Tahoma" w:cs="Tahoma"/>
          <w:b/>
          <w:bCs/>
          <w:sz w:val="20"/>
          <w:szCs w:val="20"/>
        </w:rPr>
        <w:t>Others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392"/>
      </w:tblGrid>
      <w:tr w:rsidR="00A6753C" w:rsidTr="008A7C14">
        <w:trPr>
          <w:trHeight w:val="1259"/>
        </w:trPr>
        <w:tc>
          <w:tcPr>
            <w:tcW w:w="971" w:type="pc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A6753C" w:rsidRPr="00685ED2" w:rsidRDefault="00A6753C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685ED2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Other Activities</w:t>
            </w:r>
          </w:p>
        </w:tc>
        <w:tc>
          <w:tcPr>
            <w:tcW w:w="4029" w:type="pc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3A7797" w:rsidRPr="003A7797" w:rsidRDefault="003A7797" w:rsidP="008A7C14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797">
              <w:rPr>
                <w:rFonts w:ascii="Tahoma" w:hAnsi="Tahoma" w:cs="Tahoma"/>
                <w:sz w:val="18"/>
                <w:szCs w:val="18"/>
              </w:rPr>
              <w:t>Played for the College U/13 and U/15 division I cricket teams</w:t>
            </w:r>
          </w:p>
          <w:p w:rsidR="003A7797" w:rsidRPr="003A7797" w:rsidRDefault="003A7797" w:rsidP="008A7C14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797">
              <w:rPr>
                <w:rFonts w:ascii="Tahoma" w:hAnsi="Tahoma" w:cs="Tahoma"/>
                <w:sz w:val="18"/>
                <w:szCs w:val="18"/>
              </w:rPr>
              <w:t>Represented the School Karate team and also served as its Treasurer</w:t>
            </w:r>
          </w:p>
          <w:p w:rsidR="00A6753C" w:rsidRPr="00A72387" w:rsidRDefault="003A7797" w:rsidP="008A7C14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9" w:hanging="259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A7797">
              <w:rPr>
                <w:rFonts w:ascii="Tahoma" w:hAnsi="Tahoma" w:cs="Tahoma"/>
                <w:sz w:val="18"/>
                <w:szCs w:val="18"/>
              </w:rPr>
              <w:t>Assistant Treasurer of the School Commerce society</w:t>
            </w:r>
          </w:p>
        </w:tc>
      </w:tr>
      <w:tr w:rsidR="00A6753C" w:rsidTr="008A7C14">
        <w:trPr>
          <w:trHeight w:val="971"/>
        </w:trPr>
        <w:tc>
          <w:tcPr>
            <w:tcW w:w="971" w:type="pct"/>
            <w:tcMar>
              <w:left w:w="72" w:type="dxa"/>
              <w:right w:w="72" w:type="dxa"/>
            </w:tcMar>
          </w:tcPr>
          <w:p w:rsidR="00A6753C" w:rsidRPr="00685ED2" w:rsidRDefault="00A6753C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685ED2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Computer Skills</w:t>
            </w:r>
          </w:p>
        </w:tc>
        <w:tc>
          <w:tcPr>
            <w:tcW w:w="4029" w:type="pct"/>
            <w:tcMar>
              <w:left w:w="72" w:type="dxa"/>
              <w:right w:w="72" w:type="dxa"/>
            </w:tcMar>
          </w:tcPr>
          <w:p w:rsidR="00A6753C" w:rsidRPr="00685ED2" w:rsidRDefault="00A6753C" w:rsidP="008A7C14">
            <w:pPr>
              <w:pStyle w:val="ListParagraph"/>
              <w:numPr>
                <w:ilvl w:val="0"/>
                <w:numId w:val="1"/>
              </w:numPr>
              <w:spacing w:before="60" w:after="60"/>
              <w:ind w:left="252" w:hanging="252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85ED2">
              <w:rPr>
                <w:rFonts w:ascii="Tahoma" w:hAnsi="Tahoma" w:cs="Tahoma"/>
                <w:sz w:val="18"/>
                <w:szCs w:val="18"/>
              </w:rPr>
              <w:t xml:space="preserve">Proficiency in Microsoft Office </w:t>
            </w:r>
            <w:r w:rsidR="00564CD8">
              <w:rPr>
                <w:rFonts w:ascii="Tahoma" w:hAnsi="Tahoma" w:cs="Tahoma"/>
                <w:sz w:val="18"/>
                <w:szCs w:val="18"/>
              </w:rPr>
              <w:t>and accounting software</w:t>
            </w:r>
            <w:r w:rsidR="00B35C9C">
              <w:rPr>
                <w:rFonts w:ascii="Tahoma" w:hAnsi="Tahoma" w:cs="Tahoma"/>
                <w:sz w:val="18"/>
                <w:szCs w:val="18"/>
              </w:rPr>
              <w:t xml:space="preserve"> (SAP Business One, Global Bake, </w:t>
            </w:r>
            <w:proofErr w:type="spellStart"/>
            <w:r w:rsidR="00B35C9C">
              <w:rPr>
                <w:rFonts w:ascii="Tahoma" w:hAnsi="Tahoma" w:cs="Tahoma"/>
                <w:sz w:val="18"/>
                <w:szCs w:val="18"/>
              </w:rPr>
              <w:t>Maitre’D</w:t>
            </w:r>
            <w:proofErr w:type="spellEnd"/>
            <w:r w:rsidR="00C96C7E">
              <w:rPr>
                <w:rFonts w:ascii="Tahoma" w:hAnsi="Tahoma" w:cs="Tahoma"/>
                <w:sz w:val="18"/>
                <w:szCs w:val="18"/>
              </w:rPr>
              <w:t>-accounting and POS system</w:t>
            </w:r>
            <w:r w:rsidR="00B35C9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A1220" w:rsidTr="008A7C14">
        <w:trPr>
          <w:trHeight w:val="521"/>
        </w:trPr>
        <w:tc>
          <w:tcPr>
            <w:tcW w:w="971" w:type="pct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9A1220" w:rsidRPr="00685ED2" w:rsidRDefault="009A1220" w:rsidP="008A7C14">
            <w:pPr>
              <w:spacing w:before="60" w:after="6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685ED2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Languages 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9A1220" w:rsidRPr="00685ED2" w:rsidRDefault="00E07FF9" w:rsidP="008A7C1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(Fluent);</w:t>
            </w:r>
            <w:r w:rsidR="00C552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1220" w:rsidRPr="00685ED2">
              <w:rPr>
                <w:rFonts w:ascii="Tahoma" w:hAnsi="Tahoma" w:cs="Tahoma"/>
                <w:sz w:val="18"/>
                <w:szCs w:val="18"/>
              </w:rPr>
              <w:t>Sinhalese (</w:t>
            </w:r>
            <w:r w:rsidRPr="00685ED2">
              <w:rPr>
                <w:rFonts w:ascii="Tahoma" w:hAnsi="Tahoma" w:cs="Tahoma"/>
                <w:sz w:val="18"/>
                <w:szCs w:val="18"/>
              </w:rPr>
              <w:t>Native</w:t>
            </w:r>
            <w:r w:rsidR="009A1220" w:rsidRPr="00685E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57481F" w:rsidRDefault="0057481F" w:rsidP="00264391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sectPr w:rsidR="0057481F" w:rsidSect="003314C4">
      <w:footerReference w:type="default" r:id="rId10"/>
      <w:pgSz w:w="11909" w:h="16834" w:code="9"/>
      <w:pgMar w:top="153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2B" w:rsidRDefault="00FB102B" w:rsidP="008D6DE6">
      <w:pPr>
        <w:spacing w:after="0" w:line="240" w:lineRule="auto"/>
      </w:pPr>
      <w:r>
        <w:separator/>
      </w:r>
    </w:p>
  </w:endnote>
  <w:endnote w:type="continuationSeparator" w:id="0">
    <w:p w:rsidR="00FB102B" w:rsidRDefault="00FB102B" w:rsidP="008D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E6" w:rsidRPr="008D6DE6" w:rsidRDefault="008C74D0" w:rsidP="00153748">
    <w:pPr>
      <w:pStyle w:val="Footer"/>
      <w:tabs>
        <w:tab w:val="clear" w:pos="8640"/>
        <w:tab w:val="right" w:pos="900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Achala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8D6DE6" w:rsidRPr="00665270">
      <w:rPr>
        <w:rFonts w:ascii="Tahoma" w:hAnsi="Tahoma" w:cs="Tahoma"/>
        <w:sz w:val="16"/>
        <w:szCs w:val="16"/>
      </w:rPr>
      <w:t>| Curriculum Vitae</w:t>
    </w:r>
    <w:r w:rsidR="008D6DE6">
      <w:t xml:space="preserve"> </w:t>
    </w:r>
    <w:r w:rsidR="008D6DE6" w:rsidRPr="00665270">
      <w:rPr>
        <w:rFonts w:ascii="Tahoma" w:hAnsi="Tahoma" w:cs="Tahoma"/>
        <w:sz w:val="16"/>
        <w:szCs w:val="16"/>
      </w:rPr>
      <w:tab/>
    </w:r>
    <w:r w:rsidR="008D6DE6" w:rsidRPr="00665270">
      <w:rPr>
        <w:rFonts w:ascii="Tahoma" w:hAnsi="Tahoma" w:cs="Tahoma"/>
        <w:sz w:val="16"/>
        <w:szCs w:val="16"/>
      </w:rPr>
      <w:tab/>
    </w:r>
    <w:r w:rsidR="00654033" w:rsidRPr="00654033">
      <w:rPr>
        <w:rFonts w:ascii="Tahoma" w:hAnsi="Tahoma" w:cs="Tahoma"/>
        <w:sz w:val="16"/>
        <w:szCs w:val="16"/>
      </w:rPr>
      <w:t xml:space="preserve">Page </w:t>
    </w:r>
    <w:r w:rsidR="00B768C1" w:rsidRPr="00654033">
      <w:rPr>
        <w:rFonts w:ascii="Tahoma" w:hAnsi="Tahoma" w:cs="Tahoma"/>
        <w:sz w:val="16"/>
        <w:szCs w:val="16"/>
      </w:rPr>
      <w:fldChar w:fldCharType="begin"/>
    </w:r>
    <w:r w:rsidR="00654033" w:rsidRPr="00654033">
      <w:rPr>
        <w:rFonts w:ascii="Tahoma" w:hAnsi="Tahoma" w:cs="Tahoma"/>
        <w:sz w:val="16"/>
        <w:szCs w:val="16"/>
      </w:rPr>
      <w:instrText xml:space="preserve"> PAGE  \* Arabic  \* MERGEFORMAT </w:instrText>
    </w:r>
    <w:r w:rsidR="00B768C1" w:rsidRPr="00654033">
      <w:rPr>
        <w:rFonts w:ascii="Tahoma" w:hAnsi="Tahoma" w:cs="Tahoma"/>
        <w:sz w:val="16"/>
        <w:szCs w:val="16"/>
      </w:rPr>
      <w:fldChar w:fldCharType="separate"/>
    </w:r>
    <w:r w:rsidR="00E31677">
      <w:rPr>
        <w:rFonts w:ascii="Tahoma" w:hAnsi="Tahoma" w:cs="Tahoma"/>
        <w:noProof/>
        <w:sz w:val="16"/>
        <w:szCs w:val="16"/>
      </w:rPr>
      <w:t>1</w:t>
    </w:r>
    <w:r w:rsidR="00B768C1" w:rsidRPr="00654033">
      <w:rPr>
        <w:rFonts w:ascii="Tahoma" w:hAnsi="Tahoma" w:cs="Tahoma"/>
        <w:sz w:val="16"/>
        <w:szCs w:val="16"/>
      </w:rPr>
      <w:fldChar w:fldCharType="end"/>
    </w:r>
    <w:r w:rsidR="00654033" w:rsidRPr="00654033">
      <w:rPr>
        <w:rFonts w:ascii="Tahoma" w:hAnsi="Tahoma" w:cs="Tahoma"/>
        <w:sz w:val="16"/>
        <w:szCs w:val="16"/>
      </w:rPr>
      <w:t xml:space="preserve"> of </w:t>
    </w:r>
    <w:r w:rsidR="00FB102B">
      <w:fldChar w:fldCharType="begin"/>
    </w:r>
    <w:r w:rsidR="00FB102B">
      <w:instrText xml:space="preserve"> NUMPAGES  \* Arabic  \* MERGEFORMAT </w:instrText>
    </w:r>
    <w:r w:rsidR="00FB102B">
      <w:fldChar w:fldCharType="separate"/>
    </w:r>
    <w:r w:rsidR="00E31677" w:rsidRPr="00E31677">
      <w:rPr>
        <w:rFonts w:ascii="Tahoma" w:hAnsi="Tahoma" w:cs="Tahoma"/>
        <w:noProof/>
        <w:sz w:val="16"/>
        <w:szCs w:val="16"/>
      </w:rPr>
      <w:t>2</w:t>
    </w:r>
    <w:r w:rsidR="00FB102B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2B" w:rsidRDefault="00FB102B" w:rsidP="008D6DE6">
      <w:pPr>
        <w:spacing w:after="0" w:line="240" w:lineRule="auto"/>
      </w:pPr>
      <w:r>
        <w:separator/>
      </w:r>
    </w:p>
  </w:footnote>
  <w:footnote w:type="continuationSeparator" w:id="0">
    <w:p w:rsidR="00FB102B" w:rsidRDefault="00FB102B" w:rsidP="008D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5C5"/>
    <w:multiLevelType w:val="hybridMultilevel"/>
    <w:tmpl w:val="4F8E5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771E"/>
    <w:multiLevelType w:val="hybridMultilevel"/>
    <w:tmpl w:val="115A1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6E0B"/>
    <w:multiLevelType w:val="hybridMultilevel"/>
    <w:tmpl w:val="D9623A6A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2D041E1C"/>
    <w:multiLevelType w:val="hybridMultilevel"/>
    <w:tmpl w:val="8A2E8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212"/>
    <w:multiLevelType w:val="hybridMultilevel"/>
    <w:tmpl w:val="07909150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35BD3FDD"/>
    <w:multiLevelType w:val="hybridMultilevel"/>
    <w:tmpl w:val="870C80DC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>
    <w:nsid w:val="3AE476BB"/>
    <w:multiLevelType w:val="hybridMultilevel"/>
    <w:tmpl w:val="5074C2CE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BE928EA4">
      <w:start w:val="1"/>
      <w:numFmt w:val="bullet"/>
      <w:lvlText w:val="–"/>
      <w:lvlJc w:val="left"/>
      <w:pPr>
        <w:ind w:left="194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455F10DF"/>
    <w:multiLevelType w:val="hybridMultilevel"/>
    <w:tmpl w:val="019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70AD"/>
    <w:multiLevelType w:val="hybridMultilevel"/>
    <w:tmpl w:val="F47CE6C0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6"/>
    <w:rsid w:val="00011491"/>
    <w:rsid w:val="000132FB"/>
    <w:rsid w:val="000246DD"/>
    <w:rsid w:val="00046612"/>
    <w:rsid w:val="00075BD3"/>
    <w:rsid w:val="000765BC"/>
    <w:rsid w:val="000811AB"/>
    <w:rsid w:val="00085B60"/>
    <w:rsid w:val="000B1189"/>
    <w:rsid w:val="000B6CBA"/>
    <w:rsid w:val="000B6F52"/>
    <w:rsid w:val="000C7C49"/>
    <w:rsid w:val="001016E8"/>
    <w:rsid w:val="0011255B"/>
    <w:rsid w:val="00120624"/>
    <w:rsid w:val="0014478C"/>
    <w:rsid w:val="001509B4"/>
    <w:rsid w:val="001521E7"/>
    <w:rsid w:val="00153748"/>
    <w:rsid w:val="00166FC0"/>
    <w:rsid w:val="00173CB5"/>
    <w:rsid w:val="001740D2"/>
    <w:rsid w:val="00180200"/>
    <w:rsid w:val="00197233"/>
    <w:rsid w:val="00197857"/>
    <w:rsid w:val="001A0D65"/>
    <w:rsid w:val="001B2DD7"/>
    <w:rsid w:val="001E08A7"/>
    <w:rsid w:val="001E431E"/>
    <w:rsid w:val="001F2F4F"/>
    <w:rsid w:val="001F5315"/>
    <w:rsid w:val="0021611F"/>
    <w:rsid w:val="00264391"/>
    <w:rsid w:val="00265469"/>
    <w:rsid w:val="00275849"/>
    <w:rsid w:val="002A2E6E"/>
    <w:rsid w:val="002B10F9"/>
    <w:rsid w:val="002B4A23"/>
    <w:rsid w:val="002D18C2"/>
    <w:rsid w:val="002E3A8D"/>
    <w:rsid w:val="002E510C"/>
    <w:rsid w:val="002E614C"/>
    <w:rsid w:val="002F2E37"/>
    <w:rsid w:val="00302999"/>
    <w:rsid w:val="0030702C"/>
    <w:rsid w:val="003169EC"/>
    <w:rsid w:val="00317FD3"/>
    <w:rsid w:val="003314C4"/>
    <w:rsid w:val="00334360"/>
    <w:rsid w:val="00334BD3"/>
    <w:rsid w:val="00344538"/>
    <w:rsid w:val="003600CA"/>
    <w:rsid w:val="0039176D"/>
    <w:rsid w:val="003A7797"/>
    <w:rsid w:val="003B22FE"/>
    <w:rsid w:val="003B31F4"/>
    <w:rsid w:val="003C361B"/>
    <w:rsid w:val="003D08FA"/>
    <w:rsid w:val="003D0DC9"/>
    <w:rsid w:val="003D192E"/>
    <w:rsid w:val="003D4800"/>
    <w:rsid w:val="003D486F"/>
    <w:rsid w:val="00420E0C"/>
    <w:rsid w:val="00430CC7"/>
    <w:rsid w:val="0043194F"/>
    <w:rsid w:val="004344D0"/>
    <w:rsid w:val="00497687"/>
    <w:rsid w:val="004B39D5"/>
    <w:rsid w:val="004B3BB5"/>
    <w:rsid w:val="004D12BC"/>
    <w:rsid w:val="004D45C4"/>
    <w:rsid w:val="004D4F26"/>
    <w:rsid w:val="004D7F30"/>
    <w:rsid w:val="004E25D2"/>
    <w:rsid w:val="004E326C"/>
    <w:rsid w:val="004E4252"/>
    <w:rsid w:val="00503C8A"/>
    <w:rsid w:val="005061BE"/>
    <w:rsid w:val="0051026D"/>
    <w:rsid w:val="0051474B"/>
    <w:rsid w:val="005247A2"/>
    <w:rsid w:val="0053038A"/>
    <w:rsid w:val="00531507"/>
    <w:rsid w:val="00546A42"/>
    <w:rsid w:val="00564CD8"/>
    <w:rsid w:val="005727F8"/>
    <w:rsid w:val="0057481F"/>
    <w:rsid w:val="005976F2"/>
    <w:rsid w:val="005A639C"/>
    <w:rsid w:val="005E5300"/>
    <w:rsid w:val="005F3046"/>
    <w:rsid w:val="005F43CB"/>
    <w:rsid w:val="005F454B"/>
    <w:rsid w:val="006002C6"/>
    <w:rsid w:val="00616883"/>
    <w:rsid w:val="006246EE"/>
    <w:rsid w:val="00624D76"/>
    <w:rsid w:val="00625FBB"/>
    <w:rsid w:val="00640E6B"/>
    <w:rsid w:val="0064563E"/>
    <w:rsid w:val="00652511"/>
    <w:rsid w:val="00654033"/>
    <w:rsid w:val="00660271"/>
    <w:rsid w:val="00665270"/>
    <w:rsid w:val="00666B30"/>
    <w:rsid w:val="00667292"/>
    <w:rsid w:val="006847F4"/>
    <w:rsid w:val="00685ED2"/>
    <w:rsid w:val="00695C54"/>
    <w:rsid w:val="006961C6"/>
    <w:rsid w:val="006A7EA3"/>
    <w:rsid w:val="006B16A6"/>
    <w:rsid w:val="006C33A7"/>
    <w:rsid w:val="006C613F"/>
    <w:rsid w:val="006D4E29"/>
    <w:rsid w:val="006E5D5D"/>
    <w:rsid w:val="006F40F1"/>
    <w:rsid w:val="006F4BAB"/>
    <w:rsid w:val="007129CF"/>
    <w:rsid w:val="007209DD"/>
    <w:rsid w:val="007462F6"/>
    <w:rsid w:val="00765649"/>
    <w:rsid w:val="00776D07"/>
    <w:rsid w:val="007938D1"/>
    <w:rsid w:val="007A4909"/>
    <w:rsid w:val="007A4A86"/>
    <w:rsid w:val="007C3386"/>
    <w:rsid w:val="007E194F"/>
    <w:rsid w:val="007F3B15"/>
    <w:rsid w:val="008114C6"/>
    <w:rsid w:val="00815A2F"/>
    <w:rsid w:val="00834168"/>
    <w:rsid w:val="00866ED3"/>
    <w:rsid w:val="00875AB6"/>
    <w:rsid w:val="0088217B"/>
    <w:rsid w:val="00887319"/>
    <w:rsid w:val="00893465"/>
    <w:rsid w:val="008A0F7D"/>
    <w:rsid w:val="008A42E1"/>
    <w:rsid w:val="008A7C14"/>
    <w:rsid w:val="008C0CB6"/>
    <w:rsid w:val="008C18BB"/>
    <w:rsid w:val="008C74D0"/>
    <w:rsid w:val="008D2F1B"/>
    <w:rsid w:val="008D6DE6"/>
    <w:rsid w:val="008E6684"/>
    <w:rsid w:val="008E7CAD"/>
    <w:rsid w:val="00905036"/>
    <w:rsid w:val="0091318C"/>
    <w:rsid w:val="00927089"/>
    <w:rsid w:val="00935262"/>
    <w:rsid w:val="00952C01"/>
    <w:rsid w:val="00971925"/>
    <w:rsid w:val="00982817"/>
    <w:rsid w:val="00995148"/>
    <w:rsid w:val="009A0D80"/>
    <w:rsid w:val="009A0FA5"/>
    <w:rsid w:val="009A1220"/>
    <w:rsid w:val="009C44C5"/>
    <w:rsid w:val="009D6FE6"/>
    <w:rsid w:val="009E4CF4"/>
    <w:rsid w:val="009E530A"/>
    <w:rsid w:val="009E5B28"/>
    <w:rsid w:val="009F156E"/>
    <w:rsid w:val="009F30FB"/>
    <w:rsid w:val="009F312F"/>
    <w:rsid w:val="009F6130"/>
    <w:rsid w:val="009F720A"/>
    <w:rsid w:val="00A2202F"/>
    <w:rsid w:val="00A31E2B"/>
    <w:rsid w:val="00A31F09"/>
    <w:rsid w:val="00A47615"/>
    <w:rsid w:val="00A6753C"/>
    <w:rsid w:val="00A72387"/>
    <w:rsid w:val="00A735BD"/>
    <w:rsid w:val="00AA6458"/>
    <w:rsid w:val="00AB1017"/>
    <w:rsid w:val="00AB1E67"/>
    <w:rsid w:val="00AC1F82"/>
    <w:rsid w:val="00AF0FC5"/>
    <w:rsid w:val="00AF4274"/>
    <w:rsid w:val="00B015D1"/>
    <w:rsid w:val="00B35C9C"/>
    <w:rsid w:val="00B368C5"/>
    <w:rsid w:val="00B406C4"/>
    <w:rsid w:val="00B46F86"/>
    <w:rsid w:val="00B57BB2"/>
    <w:rsid w:val="00B63A5D"/>
    <w:rsid w:val="00B65364"/>
    <w:rsid w:val="00B768C1"/>
    <w:rsid w:val="00BC290A"/>
    <w:rsid w:val="00BE1F71"/>
    <w:rsid w:val="00C06C63"/>
    <w:rsid w:val="00C13615"/>
    <w:rsid w:val="00C353F3"/>
    <w:rsid w:val="00C43688"/>
    <w:rsid w:val="00C5520E"/>
    <w:rsid w:val="00C563BA"/>
    <w:rsid w:val="00C7519C"/>
    <w:rsid w:val="00C77C91"/>
    <w:rsid w:val="00C922A3"/>
    <w:rsid w:val="00C94E65"/>
    <w:rsid w:val="00C96C7E"/>
    <w:rsid w:val="00CC3747"/>
    <w:rsid w:val="00CD7C81"/>
    <w:rsid w:val="00CE39B7"/>
    <w:rsid w:val="00CE5047"/>
    <w:rsid w:val="00D03836"/>
    <w:rsid w:val="00D205BA"/>
    <w:rsid w:val="00D22DA2"/>
    <w:rsid w:val="00D40F4F"/>
    <w:rsid w:val="00D4137B"/>
    <w:rsid w:val="00D46E53"/>
    <w:rsid w:val="00D93874"/>
    <w:rsid w:val="00DC2BFC"/>
    <w:rsid w:val="00DE5C49"/>
    <w:rsid w:val="00E01A0C"/>
    <w:rsid w:val="00E07FF9"/>
    <w:rsid w:val="00E106F5"/>
    <w:rsid w:val="00E11C75"/>
    <w:rsid w:val="00E14366"/>
    <w:rsid w:val="00E2095F"/>
    <w:rsid w:val="00E31677"/>
    <w:rsid w:val="00E401A5"/>
    <w:rsid w:val="00E65D66"/>
    <w:rsid w:val="00E70E74"/>
    <w:rsid w:val="00E908E0"/>
    <w:rsid w:val="00EE7BC4"/>
    <w:rsid w:val="00F45F74"/>
    <w:rsid w:val="00F47924"/>
    <w:rsid w:val="00F5582C"/>
    <w:rsid w:val="00F57F90"/>
    <w:rsid w:val="00F60F32"/>
    <w:rsid w:val="00F63C2D"/>
    <w:rsid w:val="00F6469F"/>
    <w:rsid w:val="00F80D5A"/>
    <w:rsid w:val="00F84C80"/>
    <w:rsid w:val="00F9453B"/>
    <w:rsid w:val="00FB102B"/>
    <w:rsid w:val="00FB37CF"/>
    <w:rsid w:val="00FC0738"/>
    <w:rsid w:val="00FC362C"/>
    <w:rsid w:val="00FD007E"/>
    <w:rsid w:val="00FE780A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F4"/>
    <w:rPr>
      <w:rFonts w:cs="Times New Roman"/>
      <w:color w:val="0000FF" w:themeColor="hyperlink"/>
      <w:u w:val="single"/>
      <w:lang w:bidi="ar-SA"/>
    </w:rPr>
  </w:style>
  <w:style w:type="table" w:styleId="TableGrid">
    <w:name w:val="Table Grid"/>
    <w:basedOn w:val="TableNormal"/>
    <w:uiPriority w:val="59"/>
    <w:rsid w:val="00FD007E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DE6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6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DE6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F4"/>
    <w:rPr>
      <w:rFonts w:cs="Times New Roman"/>
      <w:color w:val="0000FF" w:themeColor="hyperlink"/>
      <w:u w:val="single"/>
      <w:lang w:bidi="ar-SA"/>
    </w:rPr>
  </w:style>
  <w:style w:type="table" w:styleId="TableGrid">
    <w:name w:val="Table Grid"/>
    <w:basedOn w:val="TableNormal"/>
    <w:uiPriority w:val="59"/>
    <w:rsid w:val="00FD007E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DE6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6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DE6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chala.80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9840-07D9-4238-A81C-1C831404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RSudheendra</dc:creator>
  <cp:lastModifiedBy>348370422</cp:lastModifiedBy>
  <cp:revision>2</cp:revision>
  <cp:lastPrinted>2015-11-15T11:01:00Z</cp:lastPrinted>
  <dcterms:created xsi:type="dcterms:W3CDTF">2017-07-09T15:25:00Z</dcterms:created>
  <dcterms:modified xsi:type="dcterms:W3CDTF">2017-07-09T15:25:00Z</dcterms:modified>
</cp:coreProperties>
</file>