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5F" w:rsidRDefault="007B25AD">
      <w:pPr>
        <w:pStyle w:val="Standard"/>
        <w:jc w:val="center"/>
      </w:pPr>
      <w:bookmarkStart w:id="0" w:name="_GoBack"/>
      <w:bookmarkEnd w:id="0"/>
      <w:r>
        <w:rPr>
          <w:rFonts w:ascii="Garamond" w:eastAsia="Arial Unicode MS" w:hAnsi="Garamond"/>
          <w:b/>
          <w:sz w:val="32"/>
          <w:szCs w:val="32"/>
        </w:rPr>
        <w:t>FAHAD, CMA</w:t>
      </w:r>
    </w:p>
    <w:p w:rsidR="00964C5F" w:rsidRDefault="00F36230">
      <w:pPr>
        <w:pStyle w:val="Standard"/>
        <w:spacing w:before="120"/>
        <w:jc w:val="center"/>
      </w:pPr>
      <w:bookmarkStart w:id="1" w:name="webProfileURL"/>
      <w:r>
        <w:rPr>
          <w:rFonts w:ascii="Garamond" w:hAnsi="Garamond" w:cs="Arial"/>
          <w:bCs/>
          <w:sz w:val="22"/>
          <w:szCs w:val="22"/>
        </w:rPr>
        <w:t>C/o 0504973598</w:t>
      </w:r>
      <w:r w:rsidR="007B25AD">
        <w:rPr>
          <w:rFonts w:ascii="Garamond" w:hAnsi="Garamond" w:cs="Arial"/>
          <w:bCs/>
          <w:sz w:val="22"/>
          <w:szCs w:val="22"/>
        </w:rPr>
        <w:t xml:space="preserve"> • </w:t>
      </w:r>
      <w:hyperlink r:id="rId7" w:history="1">
        <w:r w:rsidRPr="00291DF9">
          <w:rPr>
            <w:rStyle w:val="Hyperlink"/>
            <w:rFonts w:ascii="Garamond" w:hAnsi="Garamond" w:cs="Arial"/>
            <w:bCs/>
            <w:sz w:val="22"/>
            <w:szCs w:val="22"/>
          </w:rPr>
          <w:t>fahad.111268@2freemail.com</w:t>
        </w:r>
      </w:hyperlink>
      <w:bookmarkEnd w:id="1"/>
      <w:r>
        <w:t xml:space="preserve"> </w:t>
      </w:r>
      <w:r w:rsidR="007B25AD">
        <w:rPr>
          <w:rFonts w:ascii="Garamond" w:hAnsi="Garamond" w:cs="Arial"/>
          <w:sz w:val="22"/>
          <w:szCs w:val="22"/>
        </w:rPr>
        <w:t xml:space="preserve"> </w:t>
      </w:r>
      <w:r>
        <w:t xml:space="preserve"> </w:t>
      </w:r>
    </w:p>
    <w:p w:rsidR="00964C5F" w:rsidRDefault="007B25AD">
      <w:pPr>
        <w:pStyle w:val="Standard"/>
        <w:spacing w:before="120"/>
        <w:jc w:val="center"/>
      </w:pPr>
      <w:r>
        <w:rPr>
          <w:rFonts w:ascii="Garamond" w:hAnsi="Garamond" w:cs="Arial"/>
          <w:bCs/>
          <w:sz w:val="22"/>
          <w:szCs w:val="22"/>
        </w:rPr>
        <w:t xml:space="preserve"> Nationality: Pakistani • Date of birth: 8 May 1969</w:t>
      </w:r>
    </w:p>
    <w:p w:rsidR="00964C5F" w:rsidRDefault="00964C5F">
      <w:pPr>
        <w:pStyle w:val="Standard"/>
        <w:rPr>
          <w:rFonts w:ascii="Garamond" w:hAnsi="Garamond" w:cs="Arial"/>
          <w:b/>
          <w:bCs/>
          <w:sz w:val="22"/>
          <w:szCs w:val="22"/>
        </w:rPr>
      </w:pPr>
    </w:p>
    <w:p w:rsidR="00964C5F" w:rsidRDefault="007B25AD">
      <w:pPr>
        <w:pStyle w:val="Standard"/>
      </w:pPr>
      <w:r>
        <w:rPr>
          <w:noProof/>
        </w:rPr>
        <w:drawing>
          <wp:inline distT="0" distB="0" distL="0" distR="0">
            <wp:extent cx="5943965" cy="9537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965" cy="95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pStyle w:val="Standard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964C5F" w:rsidRDefault="007B25AD">
      <w:pPr>
        <w:pStyle w:val="Standard"/>
        <w:jc w:val="center"/>
      </w:pPr>
      <w:r>
        <w:rPr>
          <w:rFonts w:ascii="Garamond" w:hAnsi="Garamond" w:cs="Arial"/>
          <w:b/>
          <w:bCs/>
          <w:sz w:val="22"/>
          <w:szCs w:val="22"/>
        </w:rPr>
        <w:t>CFO</w:t>
      </w:r>
    </w:p>
    <w:p w:rsidR="00964C5F" w:rsidRDefault="00964C5F">
      <w:pPr>
        <w:pStyle w:val="Standard"/>
        <w:rPr>
          <w:rFonts w:ascii="Garamond" w:hAnsi="Garamond"/>
          <w:b/>
          <w:sz w:val="22"/>
          <w:szCs w:val="22"/>
        </w:rPr>
      </w:pPr>
    </w:p>
    <w:p w:rsidR="00964C5F" w:rsidRDefault="007B25AD">
      <w:pPr>
        <w:pStyle w:val="Standard"/>
      </w:pPr>
      <w:proofErr w:type="gramStart"/>
      <w:r>
        <w:rPr>
          <w:rFonts w:ascii="Garamond" w:hAnsi="Garamond" w:cs="Arial"/>
          <w:bCs/>
          <w:sz w:val="22"/>
          <w:szCs w:val="22"/>
        </w:rPr>
        <w:t>Accomplished Financial Leader with a proven track record of effective financial management and continuous process improvement.</w:t>
      </w:r>
      <w:proofErr w:type="gramEnd"/>
      <w:r>
        <w:rPr>
          <w:rFonts w:ascii="Garamond" w:hAnsi="Garamond" w:cs="Arial"/>
          <w:bCs/>
          <w:sz w:val="22"/>
          <w:szCs w:val="22"/>
        </w:rPr>
        <w:t xml:space="preserve"> </w:t>
      </w:r>
      <w:proofErr w:type="gramStart"/>
      <w:r>
        <w:rPr>
          <w:rFonts w:ascii="Garamond" w:hAnsi="Garamond" w:cs="Arial"/>
          <w:bCs/>
          <w:sz w:val="22"/>
          <w:szCs w:val="22"/>
        </w:rPr>
        <w:t>Particular emphasis on working capital management, financial reporting, internal controls, troubleshooting in intercompany transactions, budgeting &amp; planning, and team mentoring &amp; development.</w:t>
      </w:r>
      <w:proofErr w:type="gramEnd"/>
    </w:p>
    <w:p w:rsidR="00964C5F" w:rsidRDefault="00964C5F">
      <w:pPr>
        <w:pStyle w:val="Standard"/>
        <w:rPr>
          <w:rFonts w:ascii="Garamond" w:hAnsi="Garamond" w:cs="Arial"/>
          <w:b/>
          <w:sz w:val="22"/>
          <w:szCs w:val="22"/>
        </w:rPr>
      </w:pPr>
    </w:p>
    <w:tbl>
      <w:tblPr>
        <w:tblW w:w="8496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7"/>
        <w:gridCol w:w="4249"/>
      </w:tblGrid>
      <w:tr w:rsidR="00964C5F"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5F" w:rsidRDefault="007B25AD">
            <w:pPr>
              <w:pStyle w:val="Standard"/>
              <w:numPr>
                <w:ilvl w:val="0"/>
                <w:numId w:val="19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Internal control procedures</w:t>
            </w:r>
          </w:p>
        </w:tc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5F" w:rsidRDefault="007B25A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Budgeting, planning &amp; forecasting</w:t>
            </w:r>
          </w:p>
        </w:tc>
      </w:tr>
      <w:tr w:rsidR="00964C5F"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5F" w:rsidRDefault="007B25A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IFRS compliant accounting &amp; reporting</w:t>
            </w:r>
          </w:p>
        </w:tc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5F" w:rsidRDefault="007B25A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Consolidated financial statements</w:t>
            </w:r>
          </w:p>
        </w:tc>
      </w:tr>
      <w:tr w:rsidR="00964C5F"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5F" w:rsidRDefault="007B25A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ERP systems implementation</w:t>
            </w:r>
          </w:p>
          <w:p w:rsidR="00964C5F" w:rsidRDefault="007B25A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Project cost analysis &amp; control</w:t>
            </w:r>
          </w:p>
        </w:tc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C5F" w:rsidRDefault="000B3AC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 xml:space="preserve">Working capital </w:t>
            </w:r>
            <w:r w:rsidR="00507FD2">
              <w:rPr>
                <w:rFonts w:ascii="Garamond" w:hAnsi="Garamond" w:cs="Arial"/>
                <w:sz w:val="22"/>
                <w:szCs w:val="22"/>
              </w:rPr>
              <w:t xml:space="preserve">&amp; cash flow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management </w:t>
            </w:r>
          </w:p>
          <w:p w:rsidR="00964C5F" w:rsidRDefault="007B25A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Garamond" w:hAnsi="Garamond" w:cs="Arial"/>
                <w:sz w:val="22"/>
                <w:szCs w:val="22"/>
              </w:rPr>
              <w:t>Credit control</w:t>
            </w:r>
          </w:p>
        </w:tc>
      </w:tr>
    </w:tbl>
    <w:p w:rsidR="00964C5F" w:rsidRDefault="00964C5F">
      <w:pPr>
        <w:pStyle w:val="Standard"/>
        <w:rPr>
          <w:rFonts w:ascii="Garamond" w:hAnsi="Garamond"/>
          <w:b/>
          <w:sz w:val="22"/>
          <w:szCs w:val="22"/>
        </w:rPr>
      </w:pPr>
    </w:p>
    <w:p w:rsidR="00964C5F" w:rsidRDefault="007B25AD">
      <w:pPr>
        <w:pStyle w:val="Standard"/>
      </w:pPr>
      <w:r>
        <w:rPr>
          <w:noProof/>
        </w:rPr>
        <w:drawing>
          <wp:inline distT="0" distB="0" distL="0" distR="0">
            <wp:extent cx="5943965" cy="9537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965" cy="95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pStyle w:val="Standard"/>
        <w:rPr>
          <w:rFonts w:ascii="Garamond" w:hAnsi="Garamond"/>
          <w:b/>
          <w:sz w:val="22"/>
          <w:szCs w:val="22"/>
        </w:rPr>
      </w:pP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/>
          <w:sz w:val="22"/>
          <w:szCs w:val="22"/>
        </w:rPr>
        <w:t>ECORE Group,</w:t>
      </w:r>
      <w:r>
        <w:rPr>
          <w:rFonts w:ascii="Garamond" w:hAnsi="Garamond" w:cs="Arial"/>
          <w:sz w:val="22"/>
          <w:szCs w:val="22"/>
        </w:rPr>
        <w:t xml:space="preserve"> Dubai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 xml:space="preserve">Jan </w:t>
      </w:r>
      <w:r>
        <w:rPr>
          <w:rFonts w:ascii="Garamond" w:hAnsi="Garamond" w:cs="Arial"/>
          <w:b/>
          <w:sz w:val="22"/>
          <w:szCs w:val="22"/>
        </w:rPr>
        <w:t>2015 - Present</w:t>
      </w: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Cs/>
          <w:sz w:val="22"/>
          <w:szCs w:val="22"/>
        </w:rPr>
        <w:t xml:space="preserve">A specialty chemicals business, formerly known as </w:t>
      </w:r>
      <w:proofErr w:type="spellStart"/>
      <w:r>
        <w:rPr>
          <w:rFonts w:ascii="Garamond" w:hAnsi="Garamond" w:cs="Arial"/>
          <w:bCs/>
          <w:sz w:val="22"/>
          <w:szCs w:val="22"/>
        </w:rPr>
        <w:t>Maskem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, and now under the majority shareholding of Kuwait Life Sciences Company, a wholly owned subsidiary of the Kuwait Investment Authority. </w:t>
      </w:r>
      <w:proofErr w:type="gramStart"/>
      <w:r>
        <w:rPr>
          <w:rFonts w:ascii="Garamond" w:hAnsi="Garamond" w:cs="Arial"/>
          <w:bCs/>
          <w:sz w:val="22"/>
          <w:szCs w:val="22"/>
        </w:rPr>
        <w:t xml:space="preserve">Distribution channel for products of global corporations like </w:t>
      </w:r>
      <w:proofErr w:type="spellStart"/>
      <w:r>
        <w:rPr>
          <w:rFonts w:ascii="Garamond" w:hAnsi="Garamond" w:cs="Arial"/>
          <w:bCs/>
          <w:sz w:val="22"/>
          <w:szCs w:val="22"/>
        </w:rPr>
        <w:t>Bluestar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 Silicones</w:t>
      </w:r>
      <w:r w:rsidR="004961C7">
        <w:rPr>
          <w:rFonts w:ascii="Garamond" w:hAnsi="Garamond" w:cs="Arial"/>
          <w:bCs/>
          <w:sz w:val="22"/>
          <w:szCs w:val="22"/>
        </w:rPr>
        <w:t xml:space="preserve"> (</w:t>
      </w:r>
      <w:proofErr w:type="spellStart"/>
      <w:r w:rsidR="004961C7">
        <w:rPr>
          <w:rFonts w:ascii="Garamond" w:hAnsi="Garamond" w:cs="Arial"/>
          <w:bCs/>
          <w:sz w:val="22"/>
          <w:szCs w:val="22"/>
        </w:rPr>
        <w:t>Elkem</w:t>
      </w:r>
      <w:proofErr w:type="spellEnd"/>
      <w:r w:rsidR="004961C7">
        <w:rPr>
          <w:rFonts w:ascii="Garamond" w:hAnsi="Garamond" w:cs="Arial"/>
          <w:bCs/>
          <w:sz w:val="22"/>
          <w:szCs w:val="22"/>
        </w:rPr>
        <w:t>)</w:t>
      </w:r>
      <w:r>
        <w:rPr>
          <w:rFonts w:ascii="Garamond" w:hAnsi="Garamond" w:cs="Arial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bCs/>
          <w:sz w:val="22"/>
          <w:szCs w:val="22"/>
        </w:rPr>
        <w:t>Prayon</w:t>
      </w:r>
      <w:proofErr w:type="spellEnd"/>
      <w:r>
        <w:rPr>
          <w:rFonts w:ascii="Garamond" w:hAnsi="Garamond" w:cs="Arial"/>
          <w:bCs/>
          <w:sz w:val="22"/>
          <w:szCs w:val="22"/>
        </w:rPr>
        <w:t>, Rembrandt Foods, Kerry Group, and many more in the emerging markets of Middle East, Africa and Asia.</w:t>
      </w:r>
      <w:proofErr w:type="gramEnd"/>
    </w:p>
    <w:p w:rsidR="00964C5F" w:rsidRDefault="007B25AD">
      <w:pPr>
        <w:pStyle w:val="Standard"/>
      </w:pPr>
      <w:r>
        <w:rPr>
          <w:rFonts w:ascii="Garamond" w:hAnsi="Garamond" w:cs="Arial"/>
          <w:b/>
          <w:bCs/>
          <w:sz w:val="22"/>
          <w:szCs w:val="22"/>
          <w:u w:val="single"/>
        </w:rPr>
        <w:t>Group CFO</w:t>
      </w:r>
    </w:p>
    <w:p w:rsidR="00964C5F" w:rsidRDefault="007B25AD">
      <w:pPr>
        <w:pStyle w:val="ListParagraph"/>
        <w:numPr>
          <w:ilvl w:val="0"/>
          <w:numId w:val="20"/>
        </w:numPr>
        <w:spacing w:after="40"/>
      </w:pPr>
      <w:r>
        <w:rPr>
          <w:rFonts w:ascii="Garamond" w:hAnsi="Garamond" w:cs="Arial"/>
          <w:sz w:val="22"/>
          <w:szCs w:val="22"/>
        </w:rPr>
        <w:t>Head of Finance for the Group, managing a team of 9 direct and indirect reports handling finance &amp; accounting, revenue billing and operations, in the head office as well as regional branches.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Led the Group through its first post-acquisition external audit by Ernst &amp; Young. Implemented best accounting policies and practices, involving a due diligence exercise on the past five years’ accounting records, rectification of errors and restatement of opening balances.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Negotiated a USD 7.2 Million credit line with banks to consolidate the company’s debts, increase working capital facilities and reduce external finance cost by a minimum of 50%.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 xml:space="preserve">Managed improvement in vendor relations, resulting in increase of EUR 3 Million in credit terms </w:t>
      </w:r>
      <w:proofErr w:type="gramStart"/>
      <w:r>
        <w:rPr>
          <w:rFonts w:ascii="Garamond" w:hAnsi="Garamond" w:cs="Arial"/>
          <w:sz w:val="22"/>
          <w:szCs w:val="22"/>
        </w:rPr>
        <w:t>from</w:t>
      </w:r>
      <w:proofErr w:type="gramEnd"/>
      <w:r>
        <w:rPr>
          <w:rFonts w:ascii="Garamond" w:hAnsi="Garamond" w:cs="Arial"/>
          <w:sz w:val="22"/>
          <w:szCs w:val="22"/>
        </w:rPr>
        <w:t xml:space="preserve"> key principals.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Leading the process of ERP solutions review and implementation at Group level.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Partnered with external consultant to formulate and implement five year business plan.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Organized statutory Board meetings and presented consolidated financial results and business forecasts.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Facilitated the corporate restructuring process in consultation with legal advisers.</w:t>
      </w:r>
    </w:p>
    <w:p w:rsidR="00964C5F" w:rsidRDefault="007B25AD">
      <w:pPr>
        <w:pStyle w:val="ListParagraph"/>
        <w:numPr>
          <w:ilvl w:val="0"/>
          <w:numId w:val="18"/>
        </w:numPr>
        <w:spacing w:after="40"/>
      </w:pPr>
      <w:r>
        <w:rPr>
          <w:rFonts w:ascii="Garamond" w:hAnsi="Garamond" w:cs="Arial"/>
          <w:sz w:val="22"/>
          <w:szCs w:val="22"/>
        </w:rPr>
        <w:t>Reporting to the Board Finance committee on policy matters.</w:t>
      </w:r>
    </w:p>
    <w:p w:rsidR="00964C5F" w:rsidRDefault="00964C5F">
      <w:pPr>
        <w:pStyle w:val="Standard"/>
        <w:spacing w:after="40"/>
        <w:rPr>
          <w:rFonts w:ascii="Garamond" w:hAnsi="Garamond" w:cs="Arial"/>
          <w:b/>
          <w:sz w:val="22"/>
          <w:szCs w:val="22"/>
        </w:rPr>
      </w:pP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/>
          <w:sz w:val="22"/>
          <w:szCs w:val="22"/>
        </w:rPr>
        <w:t>ALLIANCE GLOBAL FZ LLC,</w:t>
      </w:r>
      <w:r>
        <w:rPr>
          <w:rFonts w:ascii="Garamond" w:hAnsi="Garamond" w:cs="Arial"/>
          <w:sz w:val="22"/>
          <w:szCs w:val="22"/>
        </w:rPr>
        <w:t xml:space="preserve"> Dubai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 xml:space="preserve">Feb </w:t>
      </w:r>
      <w:r>
        <w:rPr>
          <w:rFonts w:ascii="Garamond" w:hAnsi="Garamond" w:cs="Arial"/>
          <w:b/>
          <w:sz w:val="22"/>
          <w:szCs w:val="22"/>
        </w:rPr>
        <w:t>2013 – Jan 2015</w:t>
      </w:r>
    </w:p>
    <w:p w:rsidR="00964C5F" w:rsidRDefault="007B25AD">
      <w:pPr>
        <w:pStyle w:val="Standard"/>
        <w:spacing w:after="40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A biotechnology business representing global giants like </w:t>
      </w:r>
      <w:proofErr w:type="spellStart"/>
      <w:r>
        <w:rPr>
          <w:rFonts w:ascii="Garamond" w:hAnsi="Garamond" w:cs="Arial"/>
          <w:bCs/>
          <w:sz w:val="22"/>
          <w:szCs w:val="22"/>
        </w:rPr>
        <w:t>Illumina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bCs/>
          <w:sz w:val="22"/>
          <w:szCs w:val="22"/>
        </w:rPr>
        <w:t>Thermofisher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bCs/>
          <w:sz w:val="22"/>
          <w:szCs w:val="22"/>
        </w:rPr>
        <w:t>Elitech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 Group, and many more in the emerging markets of Middle East, Africa and Asia.</w:t>
      </w:r>
    </w:p>
    <w:p w:rsidR="00964C5F" w:rsidRPr="004961C7" w:rsidRDefault="007B25AD">
      <w:pPr>
        <w:pStyle w:val="Standard"/>
        <w:spacing w:after="40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proofErr w:type="gramStart"/>
      <w:r>
        <w:rPr>
          <w:rFonts w:ascii="Garamond" w:hAnsi="Garamond" w:cs="Arial"/>
          <w:i/>
          <w:sz w:val="22"/>
          <w:szCs w:val="22"/>
        </w:rPr>
        <w:t>continued</w:t>
      </w:r>
      <w:proofErr w:type="gramEnd"/>
      <w:r>
        <w:rPr>
          <w:rFonts w:ascii="Garamond" w:hAnsi="Garamond" w:cs="Arial"/>
          <w:i/>
          <w:sz w:val="22"/>
          <w:szCs w:val="22"/>
        </w:rPr>
        <w:t>….</w:t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</w:p>
    <w:p w:rsidR="00964C5F" w:rsidRDefault="007B25AD">
      <w:pPr>
        <w:pStyle w:val="Standard"/>
      </w:pPr>
      <w:r>
        <w:rPr>
          <w:rFonts w:ascii="Garamond" w:eastAsia="Arial Unicode MS" w:hAnsi="Garamond"/>
          <w:b/>
          <w:sz w:val="22"/>
          <w:szCs w:val="22"/>
        </w:rPr>
        <w:lastRenderedPageBreak/>
        <w:t xml:space="preserve">FAHAD - </w:t>
      </w:r>
      <w:r>
        <w:rPr>
          <w:rFonts w:ascii="Garamond" w:hAnsi="Garamond" w:cs="Arial"/>
          <w:b/>
          <w:sz w:val="22"/>
          <w:szCs w:val="22"/>
        </w:rPr>
        <w:t>Page 2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</w:p>
    <w:p w:rsidR="00964C5F" w:rsidRDefault="007B25AD">
      <w:pPr>
        <w:pStyle w:val="Standard"/>
      </w:pPr>
      <w:r>
        <w:rPr>
          <w:noProof/>
        </w:rPr>
        <w:drawing>
          <wp:inline distT="0" distB="0" distL="0" distR="0">
            <wp:extent cx="5943965" cy="95371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965" cy="95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pStyle w:val="Standard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964C5F" w:rsidRDefault="007B25AD">
      <w:pPr>
        <w:pStyle w:val="Standard"/>
      </w:pPr>
      <w:r>
        <w:rPr>
          <w:rFonts w:ascii="Garamond" w:hAnsi="Garamond" w:cs="Arial"/>
          <w:b/>
          <w:bCs/>
          <w:sz w:val="22"/>
          <w:szCs w:val="22"/>
          <w:u w:val="single"/>
        </w:rPr>
        <w:t>Group Financial Director</w:t>
      </w:r>
    </w:p>
    <w:p w:rsidR="00964C5F" w:rsidRDefault="007B25AD">
      <w:pPr>
        <w:pStyle w:val="Textbodyindent"/>
        <w:numPr>
          <w:ilvl w:val="0"/>
          <w:numId w:val="21"/>
        </w:numPr>
        <w:spacing w:after="0"/>
      </w:pPr>
      <w:r>
        <w:rPr>
          <w:rFonts w:ascii="Garamond" w:hAnsi="Garamond" w:cs="Arial"/>
          <w:sz w:val="22"/>
          <w:szCs w:val="22"/>
        </w:rPr>
        <w:t>Manag</w:t>
      </w:r>
      <w:r w:rsidR="004961C7">
        <w:rPr>
          <w:rFonts w:ascii="Garamond" w:hAnsi="Garamond" w:cs="Arial"/>
          <w:sz w:val="22"/>
          <w:szCs w:val="22"/>
        </w:rPr>
        <w:t>ed</w:t>
      </w:r>
      <w:r>
        <w:rPr>
          <w:rFonts w:ascii="Garamond" w:hAnsi="Garamond" w:cs="Arial"/>
          <w:sz w:val="22"/>
          <w:szCs w:val="22"/>
        </w:rPr>
        <w:t xml:space="preserve"> a team of 10 direct and indirect reports handling finance &amp; accounting, revenue billing and operations, in the head office as well as regional branches.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Restructured the company's credit policies, resulting in a 30% improvement in receivables turnover.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Approved the acceptance of alternative payment instruments, resulting in a 15% increase in revenue.</w:t>
      </w:r>
    </w:p>
    <w:p w:rsidR="00964C5F" w:rsidRPr="004961C7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Led the company through its first external audit, and had the audits of the three preceding years conducted in first six months of employment.</w:t>
      </w:r>
    </w:p>
    <w:p w:rsidR="004961C7" w:rsidRDefault="004961C7">
      <w:pPr>
        <w:pStyle w:val="Textbodyindent"/>
        <w:numPr>
          <w:ilvl w:val="0"/>
          <w:numId w:val="7"/>
        </w:numPr>
        <w:spacing w:after="0"/>
      </w:pPr>
      <w:r w:rsidRPr="00477029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Negotiated a 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USD </w:t>
      </w:r>
      <w:r w:rsidRPr="00477029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2 Million credit line with Islamic banks to suit the company’s business model.</w:t>
      </w:r>
    </w:p>
    <w:p w:rsidR="00964C5F" w:rsidRPr="004961C7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>Increased automation and redesigned process flows to improve financial reporting cycle by 67%.</w:t>
      </w:r>
    </w:p>
    <w:p w:rsidR="004961C7" w:rsidRDefault="004961C7">
      <w:pPr>
        <w:pStyle w:val="Textbodyindent"/>
        <w:numPr>
          <w:ilvl w:val="0"/>
          <w:numId w:val="7"/>
        </w:numPr>
        <w:spacing w:after="0"/>
      </w:pPr>
      <w:r w:rsidRPr="00477029">
        <w:rPr>
          <w:rFonts w:ascii="Garamond" w:hAnsi="Garamond" w:cs="Arial"/>
          <w:sz w:val="22"/>
          <w:szCs w:val="22"/>
        </w:rPr>
        <w:t>Supervised due diligence process in M&amp;A process with regional partners.</w:t>
      </w:r>
    </w:p>
    <w:p w:rsidR="00964C5F" w:rsidRDefault="00964C5F">
      <w:pPr>
        <w:pStyle w:val="Standard"/>
        <w:spacing w:line="360" w:lineRule="auto"/>
        <w:rPr>
          <w:rFonts w:ascii="Garamond" w:hAnsi="Garamond" w:cs="Arial"/>
          <w:sz w:val="22"/>
          <w:szCs w:val="22"/>
        </w:rPr>
      </w:pP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/>
          <w:sz w:val="22"/>
          <w:szCs w:val="22"/>
        </w:rPr>
        <w:t>STM GROUP, INC. (merged with EMC as of Jul 2013),</w:t>
      </w:r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Sharjah</w:t>
      </w:r>
      <w:proofErr w:type="spellEnd"/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>Jul</w:t>
      </w:r>
      <w:r>
        <w:rPr>
          <w:rFonts w:ascii="Garamond" w:hAnsi="Garamond" w:cs="Arial"/>
          <w:b/>
          <w:sz w:val="22"/>
          <w:szCs w:val="22"/>
        </w:rPr>
        <w:t xml:space="preserve"> 2007- Jan 2013</w:t>
      </w: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sz w:val="22"/>
          <w:szCs w:val="22"/>
        </w:rPr>
        <w:t xml:space="preserve">A US based satellite </w:t>
      </w:r>
      <w:proofErr w:type="gramStart"/>
      <w:r>
        <w:rPr>
          <w:rFonts w:ascii="Garamond" w:hAnsi="Garamond" w:cs="Arial"/>
          <w:sz w:val="22"/>
          <w:szCs w:val="22"/>
        </w:rPr>
        <w:t>telecommunications company</w:t>
      </w:r>
      <w:proofErr w:type="gramEnd"/>
      <w:r>
        <w:rPr>
          <w:rFonts w:ascii="Garamond" w:hAnsi="Garamond" w:cs="Arial"/>
          <w:sz w:val="22"/>
          <w:szCs w:val="22"/>
        </w:rPr>
        <w:t xml:space="preserve"> with offices in 5 continents now under the umbrella of ABRY Partners, a private equity firm with investment transactions exceeding USD 36 Billion.</w:t>
      </w:r>
    </w:p>
    <w:p w:rsidR="00964C5F" w:rsidRDefault="007B25AD">
      <w:pPr>
        <w:pStyle w:val="Standard"/>
      </w:pPr>
      <w:r>
        <w:rPr>
          <w:rFonts w:ascii="Garamond" w:hAnsi="Garamond" w:cs="Arial"/>
          <w:b/>
          <w:bCs/>
          <w:sz w:val="22"/>
          <w:szCs w:val="22"/>
          <w:u w:val="single"/>
        </w:rPr>
        <w:t>Group Financial Controller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>Reduced project operations costs by 15% in a Euro 20 Million fiber optics project in Central Africa. Led team in closing the project within budget.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>Implemented common ERP software through all 10 global affiliates facilitating efficient consolidation of financial statements and reducing the time required for reporting output by 75%.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>Organized a comprehensive reconciliation exercise for intercompany transactions between all 10 global affiliates and structured intercompany pricing policy.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 xml:space="preserve">Facilitated a Deloitte &amp; </w:t>
      </w:r>
      <w:proofErr w:type="spellStart"/>
      <w:r>
        <w:rPr>
          <w:rFonts w:ascii="Garamond" w:hAnsi="Garamond" w:cs="Arial"/>
          <w:sz w:val="22"/>
          <w:szCs w:val="22"/>
        </w:rPr>
        <w:t>Touche</w:t>
      </w:r>
      <w:proofErr w:type="spellEnd"/>
      <w:r>
        <w:rPr>
          <w:rFonts w:ascii="Garamond" w:hAnsi="Garamond" w:cs="Arial"/>
          <w:sz w:val="22"/>
          <w:szCs w:val="22"/>
        </w:rPr>
        <w:t xml:space="preserve"> led due diligence exercise for a potential investment in the company of USD 100 Million.</w:t>
      </w:r>
    </w:p>
    <w:p w:rsidR="00964C5F" w:rsidRDefault="007B25AD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>Negotiated a USD 15 Million finance line with a consortium of international banks for a construction project in Central Africa.</w:t>
      </w:r>
    </w:p>
    <w:p w:rsidR="00964C5F" w:rsidRDefault="00964C5F">
      <w:pPr>
        <w:pStyle w:val="Standard"/>
        <w:ind w:left="360"/>
        <w:rPr>
          <w:rFonts w:ascii="Garamond" w:hAnsi="Garamond" w:cs="Arial"/>
          <w:sz w:val="22"/>
          <w:szCs w:val="22"/>
        </w:rPr>
      </w:pP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/>
          <w:sz w:val="22"/>
          <w:szCs w:val="22"/>
        </w:rPr>
        <w:t>Al KHALEEJ SUGAR CO. LLC</w:t>
      </w:r>
      <w:r>
        <w:rPr>
          <w:rFonts w:ascii="Garamond" w:hAnsi="Garamond" w:cs="Arial"/>
          <w:sz w:val="22"/>
          <w:szCs w:val="22"/>
        </w:rPr>
        <w:t>, Dubai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>Mar 2005 - Jun 2007</w:t>
      </w:r>
    </w:p>
    <w:p w:rsidR="00964C5F" w:rsidRDefault="007B25AD">
      <w:pPr>
        <w:pStyle w:val="Textbodyindent"/>
        <w:spacing w:after="40"/>
        <w:ind w:left="0"/>
      </w:pPr>
      <w:proofErr w:type="gramStart"/>
      <w:r>
        <w:rPr>
          <w:rFonts w:ascii="Garamond" w:hAnsi="Garamond" w:cs="Arial"/>
          <w:sz w:val="22"/>
          <w:szCs w:val="22"/>
        </w:rPr>
        <w:t>The largest standalone sugar refinery in the world boasting a 1.2 Million MT raw sugar storage capacity.</w:t>
      </w:r>
      <w:proofErr w:type="gramEnd"/>
    </w:p>
    <w:p w:rsidR="00964C5F" w:rsidRDefault="007B25AD">
      <w:pPr>
        <w:pStyle w:val="Textbodyindent"/>
        <w:spacing w:after="0"/>
        <w:ind w:left="0"/>
      </w:pPr>
      <w:r>
        <w:rPr>
          <w:rFonts w:ascii="Garamond" w:hAnsi="Garamond" w:cs="Arial"/>
          <w:b/>
          <w:bCs/>
          <w:sz w:val="22"/>
          <w:szCs w:val="22"/>
          <w:u w:val="single"/>
        </w:rPr>
        <w:t>Management Accountant</w:t>
      </w:r>
    </w:p>
    <w:p w:rsidR="00964C5F" w:rsidRDefault="007B25AD">
      <w:pPr>
        <w:pStyle w:val="Textbodyindent"/>
        <w:numPr>
          <w:ilvl w:val="0"/>
          <w:numId w:val="22"/>
        </w:numPr>
        <w:spacing w:after="0"/>
      </w:pPr>
      <w:r>
        <w:rPr>
          <w:rFonts w:ascii="Garamond" w:hAnsi="Garamond" w:cs="Arial"/>
          <w:sz w:val="22"/>
          <w:szCs w:val="22"/>
        </w:rPr>
        <w:t>Performed product costing and inventory accounting &amp; control for 8,000+ line items at production site.</w:t>
      </w:r>
    </w:p>
    <w:p w:rsidR="00964C5F" w:rsidRDefault="007B25AD">
      <w:pPr>
        <w:pStyle w:val="Textbodyindent"/>
        <w:numPr>
          <w:ilvl w:val="0"/>
          <w:numId w:val="15"/>
        </w:numPr>
        <w:spacing w:after="0"/>
      </w:pPr>
      <w:r>
        <w:rPr>
          <w:rFonts w:ascii="Garamond" w:hAnsi="Garamond" w:cs="Arial"/>
          <w:sz w:val="22"/>
          <w:szCs w:val="22"/>
        </w:rPr>
        <w:t>Supervised Site AP and accounting &amp; costing for ongoing projects.</w:t>
      </w:r>
    </w:p>
    <w:p w:rsidR="00964C5F" w:rsidRDefault="007B25AD">
      <w:pPr>
        <w:pStyle w:val="Standard"/>
        <w:numPr>
          <w:ilvl w:val="0"/>
          <w:numId w:val="15"/>
        </w:numPr>
      </w:pPr>
      <w:r>
        <w:rPr>
          <w:rFonts w:ascii="Garamond" w:hAnsi="Garamond" w:cs="Arial"/>
          <w:sz w:val="22"/>
          <w:szCs w:val="22"/>
        </w:rPr>
        <w:t>Managed dispatch and sales accounting functions.</w:t>
      </w:r>
    </w:p>
    <w:p w:rsidR="00964C5F" w:rsidRDefault="007B25AD">
      <w:pPr>
        <w:pStyle w:val="Standard"/>
        <w:numPr>
          <w:ilvl w:val="0"/>
          <w:numId w:val="15"/>
        </w:numPr>
      </w:pPr>
      <w:r>
        <w:rPr>
          <w:rFonts w:ascii="Garamond" w:hAnsi="Garamond" w:cs="Arial"/>
          <w:sz w:val="22"/>
          <w:szCs w:val="22"/>
        </w:rPr>
        <w:t>Implemented internal control procedures, particularly for the Dispatch Department, ensuring they accounted for 100% of product dispatched</w:t>
      </w:r>
    </w:p>
    <w:p w:rsidR="00964C5F" w:rsidRDefault="007B25AD">
      <w:pPr>
        <w:pStyle w:val="Standard"/>
        <w:numPr>
          <w:ilvl w:val="0"/>
          <w:numId w:val="15"/>
        </w:numPr>
      </w:pPr>
      <w:r>
        <w:rPr>
          <w:rFonts w:ascii="Garamond" w:hAnsi="Garamond" w:cs="Arial"/>
          <w:sz w:val="22"/>
          <w:szCs w:val="22"/>
        </w:rPr>
        <w:t>Streamlined inventory management &amp; reporting for USD 20Million spares stock, resulting in a reduction of 30% in overstocking in the following year.</w:t>
      </w:r>
    </w:p>
    <w:p w:rsidR="00964C5F" w:rsidRDefault="00964C5F">
      <w:pPr>
        <w:pStyle w:val="Standard"/>
        <w:spacing w:line="360" w:lineRule="auto"/>
        <w:rPr>
          <w:rFonts w:ascii="Garamond" w:hAnsi="Garamond" w:cs="Arial"/>
          <w:sz w:val="22"/>
          <w:szCs w:val="22"/>
        </w:rPr>
      </w:pP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/>
          <w:sz w:val="22"/>
          <w:szCs w:val="22"/>
        </w:rPr>
        <w:t>BOODAI TRADING CO. LLC,</w:t>
      </w:r>
      <w:r>
        <w:rPr>
          <w:rFonts w:ascii="Garamond" w:hAnsi="Garamond" w:cs="Arial"/>
          <w:sz w:val="22"/>
          <w:szCs w:val="22"/>
        </w:rPr>
        <w:t xml:space="preserve"> Dubai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>Oct 2001 - Feb 2005</w:t>
      </w:r>
    </w:p>
    <w:p w:rsidR="00964C5F" w:rsidRDefault="007B25AD">
      <w:pPr>
        <w:pStyle w:val="Standard"/>
        <w:spacing w:after="40"/>
      </w:pPr>
      <w:proofErr w:type="gramStart"/>
      <w:r>
        <w:rPr>
          <w:rFonts w:ascii="Garamond" w:hAnsi="Garamond" w:cs="Arial"/>
          <w:sz w:val="22"/>
          <w:szCs w:val="22"/>
        </w:rPr>
        <w:t>A large regional business group with interests in construction machinery, industrial supplies, home appliances, aviation and media.</w:t>
      </w:r>
      <w:proofErr w:type="gramEnd"/>
    </w:p>
    <w:p w:rsidR="00964C5F" w:rsidRDefault="007B25AD">
      <w:pPr>
        <w:pStyle w:val="Standard"/>
      </w:pPr>
      <w:r>
        <w:rPr>
          <w:rFonts w:ascii="Garamond" w:hAnsi="Garamond" w:cs="Arial"/>
          <w:b/>
          <w:sz w:val="22"/>
          <w:szCs w:val="22"/>
          <w:u w:val="single"/>
        </w:rPr>
        <w:t>Chief Accountant</w:t>
      </w:r>
    </w:p>
    <w:p w:rsidR="00964C5F" w:rsidRDefault="007B25AD">
      <w:pPr>
        <w:pStyle w:val="Standard"/>
        <w:numPr>
          <w:ilvl w:val="0"/>
          <w:numId w:val="23"/>
        </w:numPr>
      </w:pPr>
      <w:r>
        <w:rPr>
          <w:rFonts w:ascii="Garamond" w:hAnsi="Garamond" w:cs="Arial"/>
          <w:sz w:val="22"/>
          <w:szCs w:val="22"/>
        </w:rPr>
        <w:t>Supervised accounting and reporting activity for the region (UAE, Oman and Qatar)</w:t>
      </w:r>
    </w:p>
    <w:p w:rsidR="00243086" w:rsidRDefault="00243086">
      <w:pPr>
        <w:pStyle w:val="Textbodyindent"/>
        <w:spacing w:after="0"/>
        <w:ind w:left="8280"/>
        <w:rPr>
          <w:rFonts w:ascii="Garamond" w:hAnsi="Garamond" w:cs="Arial"/>
          <w:i/>
          <w:sz w:val="22"/>
          <w:szCs w:val="22"/>
        </w:rPr>
      </w:pPr>
    </w:p>
    <w:p w:rsidR="00964C5F" w:rsidRDefault="007B25AD">
      <w:pPr>
        <w:pStyle w:val="Textbodyindent"/>
        <w:spacing w:after="0"/>
        <w:ind w:left="8280"/>
      </w:pPr>
      <w:proofErr w:type="gramStart"/>
      <w:r>
        <w:rPr>
          <w:rFonts w:ascii="Garamond" w:hAnsi="Garamond" w:cs="Arial"/>
          <w:i/>
          <w:sz w:val="22"/>
          <w:szCs w:val="22"/>
        </w:rPr>
        <w:t>continued</w:t>
      </w:r>
      <w:proofErr w:type="gramEnd"/>
      <w:r>
        <w:rPr>
          <w:rFonts w:ascii="Garamond" w:hAnsi="Garamond" w:cs="Arial"/>
          <w:i/>
          <w:sz w:val="22"/>
          <w:szCs w:val="22"/>
        </w:rPr>
        <w:t>….</w:t>
      </w:r>
    </w:p>
    <w:p w:rsidR="00964C5F" w:rsidRDefault="007B25AD">
      <w:pPr>
        <w:pStyle w:val="Standard"/>
      </w:pPr>
      <w:r>
        <w:rPr>
          <w:rFonts w:ascii="Garamond" w:eastAsia="Arial Unicode MS" w:hAnsi="Garamond"/>
          <w:b/>
          <w:sz w:val="22"/>
          <w:szCs w:val="22"/>
        </w:rPr>
        <w:lastRenderedPageBreak/>
        <w:t xml:space="preserve">FAHAD MIR - </w:t>
      </w:r>
      <w:r>
        <w:rPr>
          <w:rFonts w:ascii="Garamond" w:hAnsi="Garamond" w:cs="Arial"/>
          <w:b/>
          <w:sz w:val="22"/>
          <w:szCs w:val="22"/>
        </w:rPr>
        <w:t>Page 3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 xml:space="preserve">+971-50-4828054 | </w:t>
      </w:r>
      <w:hyperlink r:id="rId9" w:history="1">
        <w:r>
          <w:rPr>
            <w:rFonts w:ascii="Garamond" w:hAnsi="Garamond" w:cs="Arial"/>
            <w:bCs/>
            <w:color w:val="00000A"/>
            <w:sz w:val="22"/>
            <w:szCs w:val="22"/>
          </w:rPr>
          <w:t>mir.fahad@gmail.com</w:t>
        </w:r>
      </w:hyperlink>
    </w:p>
    <w:p w:rsidR="00964C5F" w:rsidRDefault="007B25AD">
      <w:pPr>
        <w:pStyle w:val="Standard"/>
      </w:pPr>
      <w:r>
        <w:rPr>
          <w:noProof/>
        </w:rPr>
        <w:drawing>
          <wp:inline distT="0" distB="0" distL="0" distR="0">
            <wp:extent cx="5943965" cy="9537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965" cy="95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pStyle w:val="Standard"/>
        <w:ind w:left="360"/>
        <w:rPr>
          <w:rFonts w:ascii="Garamond" w:hAnsi="Garamond" w:cs="Arial"/>
          <w:sz w:val="22"/>
          <w:szCs w:val="22"/>
        </w:rPr>
      </w:pPr>
    </w:p>
    <w:p w:rsidR="00243086" w:rsidRDefault="00243086" w:rsidP="00243086">
      <w:pPr>
        <w:pStyle w:val="Standard"/>
        <w:numPr>
          <w:ilvl w:val="0"/>
          <w:numId w:val="16"/>
        </w:numPr>
      </w:pPr>
      <w:r>
        <w:rPr>
          <w:rFonts w:ascii="Garamond" w:hAnsi="Garamond" w:cs="Arial"/>
          <w:sz w:val="22"/>
          <w:szCs w:val="22"/>
        </w:rPr>
        <w:t>Participated in Regional Budget Committee.</w:t>
      </w:r>
    </w:p>
    <w:p w:rsidR="00243086" w:rsidRDefault="00243086" w:rsidP="00243086">
      <w:pPr>
        <w:pStyle w:val="Textbodyindent"/>
        <w:numPr>
          <w:ilvl w:val="0"/>
          <w:numId w:val="7"/>
        </w:numPr>
        <w:spacing w:after="0"/>
      </w:pPr>
      <w:r>
        <w:rPr>
          <w:rFonts w:ascii="Garamond" w:hAnsi="Garamond" w:cs="Arial"/>
          <w:sz w:val="22"/>
          <w:szCs w:val="22"/>
        </w:rPr>
        <w:t>Awarded the highest proportionate performance bonus in the Region consistently.</w:t>
      </w:r>
    </w:p>
    <w:p w:rsidR="00243086" w:rsidRDefault="00243086">
      <w:pPr>
        <w:pStyle w:val="Standard"/>
        <w:spacing w:after="40"/>
        <w:rPr>
          <w:rFonts w:ascii="Garamond" w:hAnsi="Garamond" w:cs="Arial"/>
          <w:b/>
          <w:sz w:val="22"/>
          <w:szCs w:val="22"/>
        </w:rPr>
      </w:pPr>
    </w:p>
    <w:p w:rsidR="00964C5F" w:rsidRDefault="007B25AD">
      <w:pPr>
        <w:pStyle w:val="Standard"/>
        <w:spacing w:after="40"/>
      </w:pPr>
      <w:r>
        <w:rPr>
          <w:rFonts w:ascii="Garamond" w:hAnsi="Garamond" w:cs="Arial"/>
          <w:b/>
          <w:sz w:val="22"/>
          <w:szCs w:val="22"/>
        </w:rPr>
        <w:t>AL JABOR GROUP,</w:t>
      </w:r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Sharjah</w:t>
      </w:r>
      <w:proofErr w:type="spellEnd"/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>Jun 1998 – Sep 2001</w:t>
      </w:r>
    </w:p>
    <w:p w:rsidR="00964C5F" w:rsidRDefault="007B25AD">
      <w:pPr>
        <w:pStyle w:val="Heading3"/>
        <w:spacing w:after="40"/>
        <w:ind w:left="0"/>
      </w:pPr>
      <w:proofErr w:type="gramStart"/>
      <w:r>
        <w:rPr>
          <w:rFonts w:cs="Arial"/>
          <w:b w:val="0"/>
          <w:sz w:val="22"/>
          <w:szCs w:val="22"/>
          <w:u w:val="none"/>
        </w:rPr>
        <w:t>A regional business group with interests in trading as well as manufacturing of adhesives, consumer products and polymer products.</w:t>
      </w:r>
      <w:proofErr w:type="gramEnd"/>
    </w:p>
    <w:p w:rsidR="00964C5F" w:rsidRDefault="007B25AD">
      <w:pPr>
        <w:pStyle w:val="Heading3"/>
        <w:ind w:left="0"/>
      </w:pPr>
      <w:r>
        <w:rPr>
          <w:rFonts w:cs="Arial"/>
          <w:sz w:val="22"/>
          <w:szCs w:val="22"/>
        </w:rPr>
        <w:t>Chief Accountant</w:t>
      </w:r>
    </w:p>
    <w:p w:rsidR="00964C5F" w:rsidRDefault="007B25AD">
      <w:pPr>
        <w:pStyle w:val="Standard"/>
        <w:numPr>
          <w:ilvl w:val="0"/>
          <w:numId w:val="24"/>
        </w:numPr>
      </w:pPr>
      <w:r>
        <w:rPr>
          <w:rFonts w:ascii="Garamond" w:hAnsi="Garamond" w:cs="Arial"/>
          <w:sz w:val="22"/>
          <w:szCs w:val="22"/>
        </w:rPr>
        <w:t>Supervised accounting and reporting activity for three manufacturing units.</w:t>
      </w:r>
    </w:p>
    <w:p w:rsidR="00964C5F" w:rsidRDefault="007B25AD">
      <w:pPr>
        <w:pStyle w:val="Standard"/>
        <w:numPr>
          <w:ilvl w:val="0"/>
          <w:numId w:val="10"/>
        </w:numPr>
      </w:pPr>
      <w:r>
        <w:rPr>
          <w:rFonts w:ascii="Garamond" w:hAnsi="Garamond" w:cs="Arial"/>
          <w:sz w:val="22"/>
          <w:szCs w:val="22"/>
        </w:rPr>
        <w:t>Implemented proper product costing and pricing procedures for all three companies.</w:t>
      </w:r>
    </w:p>
    <w:p w:rsidR="00964C5F" w:rsidRDefault="00964C5F">
      <w:pPr>
        <w:pStyle w:val="Standard"/>
        <w:rPr>
          <w:rFonts w:ascii="Garamond" w:hAnsi="Garamond" w:cs="Arial"/>
          <w:sz w:val="22"/>
          <w:szCs w:val="22"/>
        </w:rPr>
      </w:pPr>
    </w:p>
    <w:p w:rsidR="00964C5F" w:rsidRDefault="007B25AD">
      <w:pPr>
        <w:pStyle w:val="Standard"/>
      </w:pPr>
      <w:proofErr w:type="gramStart"/>
      <w:r>
        <w:rPr>
          <w:rFonts w:ascii="Garamond" w:hAnsi="Garamond" w:cs="Arial"/>
          <w:b/>
          <w:sz w:val="22"/>
          <w:szCs w:val="22"/>
        </w:rPr>
        <w:t>Earlier pre- and post- qualification experience with Atlas Honda Ltd. and SGS (Pakistan) in Lahore, Pakistan in junior management positions.</w:t>
      </w:r>
      <w:proofErr w:type="gramEnd"/>
    </w:p>
    <w:p w:rsidR="00964C5F" w:rsidRDefault="00964C5F">
      <w:pPr>
        <w:pStyle w:val="Standard"/>
        <w:rPr>
          <w:rFonts w:ascii="Garamond" w:hAnsi="Garamond" w:cs="Arial"/>
          <w:sz w:val="22"/>
          <w:szCs w:val="22"/>
        </w:rPr>
      </w:pPr>
    </w:p>
    <w:p w:rsidR="00964C5F" w:rsidRDefault="007B25AD">
      <w:pPr>
        <w:pStyle w:val="Standard"/>
      </w:pPr>
      <w:r>
        <w:rPr>
          <w:noProof/>
        </w:rPr>
        <w:drawing>
          <wp:inline distT="0" distB="0" distL="0" distR="0">
            <wp:extent cx="5943965" cy="95371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965" cy="95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:rsidR="00964C5F" w:rsidRDefault="007B25AD">
      <w:pPr>
        <w:pStyle w:val="Standard"/>
        <w:jc w:val="center"/>
      </w:pPr>
      <w:r>
        <w:rPr>
          <w:rFonts w:ascii="Garamond" w:hAnsi="Garamond"/>
          <w:b/>
          <w:sz w:val="22"/>
          <w:szCs w:val="22"/>
        </w:rPr>
        <w:t>EDUCATION AND CERTIFICATIONS</w:t>
      </w:r>
    </w:p>
    <w:p w:rsidR="00964C5F" w:rsidRDefault="00964C5F">
      <w:pPr>
        <w:pStyle w:val="Standard"/>
        <w:rPr>
          <w:rFonts w:ascii="Garamond" w:hAnsi="Garamond" w:cs="Arial"/>
          <w:sz w:val="22"/>
          <w:szCs w:val="22"/>
        </w:rPr>
      </w:pPr>
    </w:p>
    <w:p w:rsidR="00964C5F" w:rsidRDefault="007B25AD">
      <w:pPr>
        <w:pStyle w:val="Achievement"/>
        <w:numPr>
          <w:ilvl w:val="0"/>
          <w:numId w:val="25"/>
        </w:numPr>
        <w:spacing w:after="0"/>
      </w:pPr>
      <w:r>
        <w:rPr>
          <w:rFonts w:ascii="Garamond" w:eastAsia="Arial Unicode MS" w:hAnsi="Garamond"/>
          <w:b/>
          <w:sz w:val="22"/>
          <w:szCs w:val="22"/>
        </w:rPr>
        <w:t>Institute of Management Accountants (IMA), USA</w:t>
      </w:r>
      <w:r>
        <w:rPr>
          <w:rFonts w:ascii="Garamond" w:eastAsia="Arial Unicode MS" w:hAnsi="Garamond"/>
          <w:b/>
          <w:sz w:val="22"/>
          <w:szCs w:val="22"/>
        </w:rPr>
        <w:tab/>
      </w:r>
      <w:r>
        <w:rPr>
          <w:rFonts w:ascii="Garamond" w:eastAsia="Arial Unicode MS" w:hAnsi="Garamond"/>
          <w:sz w:val="22"/>
          <w:szCs w:val="22"/>
        </w:rPr>
        <w:tab/>
      </w:r>
      <w:r>
        <w:rPr>
          <w:rFonts w:ascii="Garamond" w:eastAsia="Arial Unicode MS" w:hAnsi="Garamond"/>
          <w:sz w:val="22"/>
          <w:szCs w:val="22"/>
        </w:rPr>
        <w:tab/>
      </w:r>
      <w:r>
        <w:rPr>
          <w:rFonts w:ascii="Garamond" w:eastAsia="Arial Unicode MS" w:hAnsi="Garamond"/>
          <w:sz w:val="22"/>
          <w:szCs w:val="22"/>
        </w:rPr>
        <w:tab/>
      </w:r>
      <w:r>
        <w:rPr>
          <w:rFonts w:ascii="Garamond" w:eastAsia="Arial Unicode MS" w:hAnsi="Garamond"/>
          <w:b/>
          <w:sz w:val="22"/>
          <w:szCs w:val="22"/>
        </w:rPr>
        <w:t>2011</w:t>
      </w:r>
    </w:p>
    <w:p w:rsidR="00964C5F" w:rsidRDefault="007B25AD">
      <w:pPr>
        <w:pStyle w:val="Achievement"/>
        <w:spacing w:after="0"/>
        <w:ind w:left="720"/>
      </w:pPr>
      <w:r>
        <w:rPr>
          <w:rFonts w:ascii="Garamond" w:eastAsia="Arial Unicode MS" w:hAnsi="Garamond"/>
          <w:sz w:val="22"/>
          <w:szCs w:val="22"/>
        </w:rPr>
        <w:t>Certified Management Accountant</w:t>
      </w:r>
    </w:p>
    <w:p w:rsidR="00964C5F" w:rsidRDefault="007B25AD">
      <w:pPr>
        <w:pStyle w:val="Achievement"/>
        <w:numPr>
          <w:ilvl w:val="0"/>
          <w:numId w:val="17"/>
        </w:numPr>
        <w:spacing w:after="0"/>
      </w:pPr>
      <w:r>
        <w:rPr>
          <w:rFonts w:ascii="Garamond" w:eastAsia="Arial Unicode MS" w:hAnsi="Garamond"/>
          <w:b/>
          <w:sz w:val="22"/>
          <w:szCs w:val="22"/>
        </w:rPr>
        <w:t>Institute of Cost &amp; Management Accountants of Pakistan</w:t>
      </w:r>
      <w:r>
        <w:rPr>
          <w:rFonts w:ascii="Garamond" w:eastAsia="Arial Unicode MS" w:hAnsi="Garamond"/>
          <w:b/>
          <w:sz w:val="22"/>
          <w:szCs w:val="22"/>
        </w:rPr>
        <w:tab/>
      </w:r>
      <w:r>
        <w:rPr>
          <w:rFonts w:ascii="Garamond" w:eastAsia="Arial Unicode MS" w:hAnsi="Garamond"/>
          <w:b/>
          <w:sz w:val="22"/>
          <w:szCs w:val="22"/>
        </w:rPr>
        <w:tab/>
      </w:r>
      <w:r>
        <w:rPr>
          <w:rFonts w:ascii="Garamond" w:eastAsia="Arial Unicode MS" w:hAnsi="Garamond"/>
          <w:b/>
          <w:sz w:val="22"/>
          <w:szCs w:val="22"/>
        </w:rPr>
        <w:tab/>
        <w:t>1996</w:t>
      </w:r>
    </w:p>
    <w:p w:rsidR="00964C5F" w:rsidRDefault="007B25AD">
      <w:pPr>
        <w:pStyle w:val="Achievement"/>
        <w:spacing w:after="0"/>
        <w:ind w:left="245" w:firstLine="475"/>
      </w:pPr>
      <w:r>
        <w:rPr>
          <w:rFonts w:ascii="Garamond" w:eastAsia="Arial Unicode MS" w:hAnsi="Garamond"/>
          <w:sz w:val="22"/>
          <w:szCs w:val="22"/>
        </w:rPr>
        <w:t>Associate Cost &amp; Management Accountant</w:t>
      </w:r>
    </w:p>
    <w:p w:rsidR="00964C5F" w:rsidRDefault="007B25AD">
      <w:pPr>
        <w:pStyle w:val="Achievement"/>
        <w:numPr>
          <w:ilvl w:val="0"/>
          <w:numId w:val="17"/>
        </w:numPr>
        <w:spacing w:after="0"/>
      </w:pPr>
      <w:r>
        <w:rPr>
          <w:rFonts w:ascii="Garamond" w:eastAsia="Arial Unicode MS" w:hAnsi="Garamond"/>
          <w:b/>
          <w:sz w:val="22"/>
          <w:szCs w:val="22"/>
        </w:rPr>
        <w:t>University of the Punjab, Lahore, Pakistan</w:t>
      </w:r>
      <w:r>
        <w:rPr>
          <w:rFonts w:ascii="Garamond" w:eastAsia="Arial Unicode MS" w:hAnsi="Garamond"/>
          <w:b/>
          <w:sz w:val="22"/>
          <w:szCs w:val="22"/>
        </w:rPr>
        <w:tab/>
      </w:r>
      <w:r>
        <w:rPr>
          <w:rFonts w:ascii="Garamond" w:eastAsia="Arial Unicode MS" w:hAnsi="Garamond"/>
          <w:b/>
          <w:sz w:val="22"/>
          <w:szCs w:val="22"/>
        </w:rPr>
        <w:tab/>
      </w:r>
      <w:r>
        <w:rPr>
          <w:rFonts w:ascii="Garamond" w:eastAsia="Arial Unicode MS" w:hAnsi="Garamond"/>
          <w:sz w:val="22"/>
          <w:szCs w:val="22"/>
        </w:rPr>
        <w:tab/>
      </w:r>
      <w:r>
        <w:rPr>
          <w:rFonts w:ascii="Garamond" w:eastAsia="Arial Unicode MS" w:hAnsi="Garamond"/>
          <w:sz w:val="22"/>
          <w:szCs w:val="22"/>
        </w:rPr>
        <w:tab/>
      </w:r>
      <w:r>
        <w:rPr>
          <w:rFonts w:ascii="Garamond" w:eastAsia="Arial Unicode MS" w:hAnsi="Garamond"/>
          <w:sz w:val="22"/>
          <w:szCs w:val="22"/>
        </w:rPr>
        <w:tab/>
      </w:r>
      <w:r>
        <w:rPr>
          <w:rFonts w:ascii="Garamond" w:eastAsia="Arial Unicode MS" w:hAnsi="Garamond"/>
          <w:b/>
          <w:sz w:val="22"/>
          <w:szCs w:val="22"/>
        </w:rPr>
        <w:t>1991</w:t>
      </w:r>
      <w:r>
        <w:rPr>
          <w:rFonts w:ascii="Garamond" w:eastAsia="Arial Unicode MS" w:hAnsi="Garamond"/>
          <w:sz w:val="22"/>
          <w:szCs w:val="22"/>
        </w:rPr>
        <w:tab/>
      </w:r>
    </w:p>
    <w:p w:rsidR="00964C5F" w:rsidRDefault="007B25AD">
      <w:pPr>
        <w:pStyle w:val="Achievement"/>
        <w:spacing w:after="0"/>
        <w:ind w:left="720"/>
      </w:pPr>
      <w:r>
        <w:rPr>
          <w:rFonts w:ascii="Garamond" w:eastAsia="Arial Unicode MS" w:hAnsi="Garamond"/>
          <w:sz w:val="22"/>
          <w:szCs w:val="22"/>
        </w:rPr>
        <w:t>Bachelor of Commerce</w:t>
      </w:r>
    </w:p>
    <w:p w:rsidR="00964C5F" w:rsidRDefault="00964C5F">
      <w:pPr>
        <w:pStyle w:val="Achievement"/>
        <w:spacing w:after="0"/>
        <w:ind w:left="245" w:firstLine="475"/>
        <w:rPr>
          <w:rFonts w:ascii="Garamond" w:hAnsi="Garamond"/>
          <w:b/>
          <w:sz w:val="22"/>
          <w:szCs w:val="22"/>
        </w:rPr>
      </w:pPr>
    </w:p>
    <w:p w:rsidR="00964C5F" w:rsidRDefault="00964C5F">
      <w:pPr>
        <w:pStyle w:val="Achievement"/>
        <w:spacing w:after="40"/>
        <w:ind w:left="245" w:hanging="245"/>
      </w:pPr>
    </w:p>
    <w:sectPr w:rsidR="00964C5F" w:rsidSect="00895535"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2F" w:rsidRDefault="00AC292F">
      <w:r>
        <w:separator/>
      </w:r>
    </w:p>
  </w:endnote>
  <w:endnote w:type="continuationSeparator" w:id="0">
    <w:p w:rsidR="00AC292F" w:rsidRDefault="00AC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2F" w:rsidRDefault="00AC292F">
      <w:r>
        <w:rPr>
          <w:color w:val="000000"/>
        </w:rPr>
        <w:separator/>
      </w:r>
    </w:p>
  </w:footnote>
  <w:footnote w:type="continuationSeparator" w:id="0">
    <w:p w:rsidR="00AC292F" w:rsidRDefault="00AC2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B70"/>
    <w:multiLevelType w:val="multilevel"/>
    <w:tmpl w:val="1408EE4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CC1F43"/>
    <w:multiLevelType w:val="multilevel"/>
    <w:tmpl w:val="2A14905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021385"/>
    <w:multiLevelType w:val="multilevel"/>
    <w:tmpl w:val="2C94B9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AA00A8"/>
    <w:multiLevelType w:val="multilevel"/>
    <w:tmpl w:val="941EC06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6C075D"/>
    <w:multiLevelType w:val="multilevel"/>
    <w:tmpl w:val="4226136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5">
    <w:nsid w:val="1ABC4474"/>
    <w:multiLevelType w:val="multilevel"/>
    <w:tmpl w:val="D206E0C4"/>
    <w:styleLink w:val="WWNum10"/>
    <w:lvl w:ilvl="0">
      <w:numFmt w:val="bullet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3663C0D"/>
    <w:multiLevelType w:val="multilevel"/>
    <w:tmpl w:val="F5462E7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D91FEB"/>
    <w:multiLevelType w:val="multilevel"/>
    <w:tmpl w:val="48A08DA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11373CC"/>
    <w:multiLevelType w:val="multilevel"/>
    <w:tmpl w:val="55F058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45A2DC3"/>
    <w:multiLevelType w:val="multilevel"/>
    <w:tmpl w:val="8D94E41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8C243D"/>
    <w:multiLevelType w:val="multilevel"/>
    <w:tmpl w:val="D4F8E51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8762DE1"/>
    <w:multiLevelType w:val="multilevel"/>
    <w:tmpl w:val="8644642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35E0F11"/>
    <w:multiLevelType w:val="multilevel"/>
    <w:tmpl w:val="48A427A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>
    <w:nsid w:val="66300982"/>
    <w:multiLevelType w:val="multilevel"/>
    <w:tmpl w:val="08087566"/>
    <w:styleLink w:val="WWNum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6D896B26"/>
    <w:multiLevelType w:val="multilevel"/>
    <w:tmpl w:val="CCC4169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E7126F1"/>
    <w:multiLevelType w:val="multilevel"/>
    <w:tmpl w:val="584249E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3BE1580"/>
    <w:multiLevelType w:val="multilevel"/>
    <w:tmpl w:val="FA205F36"/>
    <w:styleLink w:val="WWNum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>
    <w:nsid w:val="7A3224EA"/>
    <w:multiLevelType w:val="multilevel"/>
    <w:tmpl w:val="DF1E4206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6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6"/>
  </w:num>
  <w:num w:numId="18">
    <w:abstractNumId w:val="15"/>
  </w:num>
  <w:num w:numId="19">
    <w:abstractNumId w:val="4"/>
  </w:num>
  <w:num w:numId="20">
    <w:abstractNumId w:val="15"/>
  </w:num>
  <w:num w:numId="21">
    <w:abstractNumId w:val="11"/>
  </w:num>
  <w:num w:numId="22">
    <w:abstractNumId w:val="13"/>
  </w:num>
  <w:num w:numId="23">
    <w:abstractNumId w:val="1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5F"/>
    <w:rsid w:val="00091D52"/>
    <w:rsid w:val="000B3ACD"/>
    <w:rsid w:val="00243086"/>
    <w:rsid w:val="004961C7"/>
    <w:rsid w:val="00507FD2"/>
    <w:rsid w:val="007B25AD"/>
    <w:rsid w:val="00895535"/>
    <w:rsid w:val="00964C5F"/>
    <w:rsid w:val="00AC292F"/>
    <w:rsid w:val="00DD1C37"/>
    <w:rsid w:val="00F3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535"/>
    <w:pPr>
      <w:suppressAutoHyphens/>
    </w:pPr>
  </w:style>
  <w:style w:type="paragraph" w:styleId="Heading2">
    <w:name w:val="heading 2"/>
    <w:basedOn w:val="Standard"/>
    <w:next w:val="Standard"/>
    <w:rsid w:val="00895535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rsid w:val="00895535"/>
    <w:pPr>
      <w:keepNext/>
      <w:ind w:left="120"/>
      <w:outlineLvl w:val="2"/>
    </w:pPr>
    <w:rPr>
      <w:rFonts w:ascii="Garamond" w:eastAsia="SimSun" w:hAnsi="Garamond" w:cs="Garamond"/>
      <w:b/>
      <w:bCs/>
      <w:sz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5535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rsid w:val="008955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95535"/>
    <w:rPr>
      <w:sz w:val="20"/>
    </w:rPr>
  </w:style>
  <w:style w:type="paragraph" w:styleId="List">
    <w:name w:val="List"/>
    <w:basedOn w:val="Textbody"/>
    <w:rsid w:val="00895535"/>
    <w:rPr>
      <w:rFonts w:cs="Arial"/>
      <w:sz w:val="24"/>
    </w:rPr>
  </w:style>
  <w:style w:type="paragraph" w:styleId="Caption">
    <w:name w:val="caption"/>
    <w:basedOn w:val="Standard"/>
    <w:next w:val="Standard"/>
    <w:rsid w:val="00895535"/>
    <w:rPr>
      <w:b/>
      <w:bCs/>
      <w:sz w:val="20"/>
      <w:szCs w:val="20"/>
    </w:rPr>
  </w:style>
  <w:style w:type="paragraph" w:customStyle="1" w:styleId="Index">
    <w:name w:val="Index"/>
    <w:basedOn w:val="Standard"/>
    <w:rsid w:val="00895535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895535"/>
    <w:pPr>
      <w:spacing w:after="120"/>
      <w:ind w:left="360"/>
    </w:pPr>
  </w:style>
  <w:style w:type="paragraph" w:customStyle="1" w:styleId="Achievement">
    <w:name w:val="Achievement"/>
    <w:basedOn w:val="Textbody"/>
    <w:rsid w:val="00895535"/>
    <w:pPr>
      <w:spacing w:after="60" w:line="220" w:lineRule="atLeast"/>
      <w:jc w:val="both"/>
    </w:pPr>
    <w:rPr>
      <w:rFonts w:ascii="Arial" w:eastAsia="Batang" w:hAnsi="Arial" w:cs="Arial"/>
      <w:spacing w:val="-5"/>
      <w:szCs w:val="20"/>
    </w:rPr>
  </w:style>
  <w:style w:type="paragraph" w:styleId="BalloonText">
    <w:name w:val="Balloon Text"/>
    <w:basedOn w:val="Standard"/>
    <w:rsid w:val="00895535"/>
    <w:rPr>
      <w:rFonts w:ascii="Tahoma" w:eastAsia="Tahoma" w:hAnsi="Tahoma" w:cs="Tahoma"/>
      <w:sz w:val="16"/>
      <w:szCs w:val="16"/>
    </w:rPr>
  </w:style>
  <w:style w:type="paragraph" w:styleId="FootnoteText">
    <w:name w:val="footnote text"/>
    <w:basedOn w:val="Standard"/>
    <w:rsid w:val="00895535"/>
    <w:rPr>
      <w:sz w:val="20"/>
      <w:szCs w:val="20"/>
    </w:rPr>
  </w:style>
  <w:style w:type="paragraph" w:styleId="CommentText">
    <w:name w:val="annotation text"/>
    <w:basedOn w:val="Standard"/>
    <w:rsid w:val="00895535"/>
    <w:rPr>
      <w:sz w:val="20"/>
      <w:szCs w:val="20"/>
    </w:rPr>
  </w:style>
  <w:style w:type="paragraph" w:styleId="CommentSubject">
    <w:name w:val="annotation subject"/>
    <w:basedOn w:val="CommentText"/>
    <w:rsid w:val="00895535"/>
    <w:rPr>
      <w:b/>
      <w:bCs/>
    </w:rPr>
  </w:style>
  <w:style w:type="paragraph" w:styleId="ListParagraph">
    <w:name w:val="List Paragraph"/>
    <w:basedOn w:val="Standard"/>
    <w:rsid w:val="00895535"/>
    <w:pPr>
      <w:ind w:left="720"/>
    </w:pPr>
  </w:style>
  <w:style w:type="character" w:customStyle="1" w:styleId="Heading2Char">
    <w:name w:val="Heading 2 Char"/>
    <w:rsid w:val="00895535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895535"/>
    <w:rPr>
      <w:rFonts w:ascii="Garamond" w:eastAsia="SimSun" w:hAnsi="Garamond" w:cs="Garamond"/>
      <w:b/>
      <w:bCs/>
      <w:szCs w:val="24"/>
      <w:u w:val="single"/>
      <w:lang w:eastAsia="zh-CN"/>
    </w:rPr>
  </w:style>
  <w:style w:type="character" w:customStyle="1" w:styleId="Internetlink">
    <w:name w:val="Internet link"/>
    <w:rsid w:val="00895535"/>
    <w:rPr>
      <w:color w:val="0000FF"/>
      <w:u w:val="single"/>
    </w:rPr>
  </w:style>
  <w:style w:type="character" w:customStyle="1" w:styleId="BodyTextChar">
    <w:name w:val="Body Text Char"/>
    <w:rsid w:val="00895535"/>
    <w:rPr>
      <w:szCs w:val="24"/>
    </w:rPr>
  </w:style>
  <w:style w:type="character" w:customStyle="1" w:styleId="BodyTextIndentChar">
    <w:name w:val="Body Text Indent Char"/>
    <w:rsid w:val="00895535"/>
    <w:rPr>
      <w:sz w:val="24"/>
      <w:szCs w:val="24"/>
    </w:rPr>
  </w:style>
  <w:style w:type="character" w:customStyle="1" w:styleId="BalloonTextChar">
    <w:name w:val="Balloon Text Char"/>
    <w:rsid w:val="00895535"/>
    <w:rPr>
      <w:rFonts w:ascii="Tahoma" w:eastAsia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rsid w:val="00895535"/>
  </w:style>
  <w:style w:type="character" w:styleId="FootnoteReference">
    <w:name w:val="footnote reference"/>
    <w:rsid w:val="00895535"/>
    <w:rPr>
      <w:position w:val="0"/>
      <w:vertAlign w:val="superscript"/>
    </w:rPr>
  </w:style>
  <w:style w:type="character" w:styleId="CommentReference">
    <w:name w:val="annotation reference"/>
    <w:rsid w:val="00895535"/>
    <w:rPr>
      <w:sz w:val="16"/>
      <w:szCs w:val="16"/>
    </w:rPr>
  </w:style>
  <w:style w:type="character" w:customStyle="1" w:styleId="CommentTextChar">
    <w:name w:val="Comment Text Char"/>
    <w:basedOn w:val="DefaultParagraphFont"/>
    <w:rsid w:val="00895535"/>
  </w:style>
  <w:style w:type="character" w:customStyle="1" w:styleId="CommentSubjectChar">
    <w:name w:val="Comment Subject Char"/>
    <w:rsid w:val="00895535"/>
    <w:rPr>
      <w:b/>
      <w:bCs/>
    </w:rPr>
  </w:style>
  <w:style w:type="character" w:customStyle="1" w:styleId="ListLabel1">
    <w:name w:val="ListLabel 1"/>
    <w:rsid w:val="00895535"/>
    <w:rPr>
      <w:rFonts w:cs="Courier New"/>
    </w:rPr>
  </w:style>
  <w:style w:type="character" w:customStyle="1" w:styleId="ListLabel2">
    <w:name w:val="ListLabel 2"/>
    <w:rsid w:val="00895535"/>
    <w:rPr>
      <w:rFonts w:cs="Courier New"/>
    </w:rPr>
  </w:style>
  <w:style w:type="character" w:customStyle="1" w:styleId="ListLabel3">
    <w:name w:val="ListLabel 3"/>
    <w:rsid w:val="00895535"/>
    <w:rPr>
      <w:rFonts w:cs="Courier New"/>
    </w:rPr>
  </w:style>
  <w:style w:type="character" w:customStyle="1" w:styleId="ListLabel4">
    <w:name w:val="ListLabel 4"/>
    <w:rsid w:val="00895535"/>
    <w:rPr>
      <w:rFonts w:cs="Courier New"/>
    </w:rPr>
  </w:style>
  <w:style w:type="character" w:customStyle="1" w:styleId="ListLabel5">
    <w:name w:val="ListLabel 5"/>
    <w:rsid w:val="00895535"/>
    <w:rPr>
      <w:rFonts w:cs="Courier New"/>
    </w:rPr>
  </w:style>
  <w:style w:type="character" w:customStyle="1" w:styleId="ListLabel6">
    <w:name w:val="ListLabel 6"/>
    <w:rsid w:val="00895535"/>
    <w:rPr>
      <w:rFonts w:cs="Courier New"/>
    </w:rPr>
  </w:style>
  <w:style w:type="character" w:customStyle="1" w:styleId="ListLabel7">
    <w:name w:val="ListLabel 7"/>
    <w:rsid w:val="00895535"/>
    <w:rPr>
      <w:rFonts w:cs="Courier New"/>
    </w:rPr>
  </w:style>
  <w:style w:type="character" w:customStyle="1" w:styleId="ListLabel8">
    <w:name w:val="ListLabel 8"/>
    <w:rsid w:val="00895535"/>
    <w:rPr>
      <w:rFonts w:cs="Courier New"/>
    </w:rPr>
  </w:style>
  <w:style w:type="character" w:customStyle="1" w:styleId="ListLabel9">
    <w:name w:val="ListLabel 9"/>
    <w:rsid w:val="00895535"/>
    <w:rPr>
      <w:rFonts w:cs="Courier New"/>
    </w:rPr>
  </w:style>
  <w:style w:type="character" w:customStyle="1" w:styleId="ListLabel10">
    <w:name w:val="ListLabel 10"/>
    <w:rsid w:val="00895535"/>
    <w:rPr>
      <w:rFonts w:cs="Courier New"/>
    </w:rPr>
  </w:style>
  <w:style w:type="character" w:customStyle="1" w:styleId="ListLabel11">
    <w:name w:val="ListLabel 11"/>
    <w:rsid w:val="00895535"/>
    <w:rPr>
      <w:rFonts w:cs="Courier New"/>
    </w:rPr>
  </w:style>
  <w:style w:type="character" w:customStyle="1" w:styleId="ListLabel12">
    <w:name w:val="ListLabel 12"/>
    <w:rsid w:val="00895535"/>
    <w:rPr>
      <w:rFonts w:cs="Courier New"/>
    </w:rPr>
  </w:style>
  <w:style w:type="character" w:customStyle="1" w:styleId="ListLabel13">
    <w:name w:val="ListLabel 13"/>
    <w:rsid w:val="00895535"/>
    <w:rPr>
      <w:rFonts w:cs="Courier New"/>
    </w:rPr>
  </w:style>
  <w:style w:type="character" w:customStyle="1" w:styleId="ListLabel14">
    <w:name w:val="ListLabel 14"/>
    <w:rsid w:val="00895535"/>
    <w:rPr>
      <w:rFonts w:cs="Courier New"/>
    </w:rPr>
  </w:style>
  <w:style w:type="character" w:customStyle="1" w:styleId="ListLabel15">
    <w:name w:val="ListLabel 15"/>
    <w:rsid w:val="00895535"/>
    <w:rPr>
      <w:rFonts w:cs="Courier New"/>
    </w:rPr>
  </w:style>
  <w:style w:type="character" w:customStyle="1" w:styleId="ListLabel16">
    <w:name w:val="ListLabel 16"/>
    <w:rsid w:val="00895535"/>
    <w:rPr>
      <w:rFonts w:cs="Courier New"/>
    </w:rPr>
  </w:style>
  <w:style w:type="character" w:customStyle="1" w:styleId="ListLabel17">
    <w:name w:val="ListLabel 17"/>
    <w:rsid w:val="00895535"/>
    <w:rPr>
      <w:rFonts w:cs="Courier New"/>
    </w:rPr>
  </w:style>
  <w:style w:type="character" w:customStyle="1" w:styleId="ListLabel18">
    <w:name w:val="ListLabel 18"/>
    <w:rsid w:val="00895535"/>
    <w:rPr>
      <w:rFonts w:cs="Courier New"/>
    </w:rPr>
  </w:style>
  <w:style w:type="character" w:customStyle="1" w:styleId="ListLabel19">
    <w:name w:val="ListLabel 19"/>
    <w:rsid w:val="00895535"/>
    <w:rPr>
      <w:rFonts w:cs="Courier New"/>
    </w:rPr>
  </w:style>
  <w:style w:type="character" w:customStyle="1" w:styleId="ListLabel20">
    <w:name w:val="ListLabel 20"/>
    <w:rsid w:val="00895535"/>
    <w:rPr>
      <w:rFonts w:cs="Courier New"/>
    </w:rPr>
  </w:style>
  <w:style w:type="character" w:customStyle="1" w:styleId="ListLabel21">
    <w:name w:val="ListLabel 21"/>
    <w:rsid w:val="00895535"/>
    <w:rPr>
      <w:rFonts w:cs="Courier New"/>
    </w:rPr>
  </w:style>
  <w:style w:type="character" w:customStyle="1" w:styleId="ListLabel22">
    <w:name w:val="ListLabel 22"/>
    <w:rsid w:val="00895535"/>
    <w:rPr>
      <w:sz w:val="20"/>
    </w:rPr>
  </w:style>
  <w:style w:type="character" w:customStyle="1" w:styleId="ListLabel23">
    <w:name w:val="ListLabel 23"/>
    <w:rsid w:val="00895535"/>
    <w:rPr>
      <w:sz w:val="20"/>
    </w:rPr>
  </w:style>
  <w:style w:type="character" w:customStyle="1" w:styleId="ListLabel24">
    <w:name w:val="ListLabel 24"/>
    <w:rsid w:val="00895535"/>
    <w:rPr>
      <w:sz w:val="20"/>
    </w:rPr>
  </w:style>
  <w:style w:type="character" w:customStyle="1" w:styleId="ListLabel25">
    <w:name w:val="ListLabel 25"/>
    <w:rsid w:val="00895535"/>
    <w:rPr>
      <w:sz w:val="20"/>
    </w:rPr>
  </w:style>
  <w:style w:type="character" w:customStyle="1" w:styleId="ListLabel26">
    <w:name w:val="ListLabel 26"/>
    <w:rsid w:val="00895535"/>
    <w:rPr>
      <w:sz w:val="20"/>
    </w:rPr>
  </w:style>
  <w:style w:type="character" w:customStyle="1" w:styleId="ListLabel27">
    <w:name w:val="ListLabel 27"/>
    <w:rsid w:val="00895535"/>
    <w:rPr>
      <w:sz w:val="20"/>
    </w:rPr>
  </w:style>
  <w:style w:type="character" w:customStyle="1" w:styleId="ListLabel28">
    <w:name w:val="ListLabel 28"/>
    <w:rsid w:val="00895535"/>
    <w:rPr>
      <w:sz w:val="20"/>
    </w:rPr>
  </w:style>
  <w:style w:type="character" w:customStyle="1" w:styleId="ListLabel29">
    <w:name w:val="ListLabel 29"/>
    <w:rsid w:val="00895535"/>
    <w:rPr>
      <w:sz w:val="20"/>
    </w:rPr>
  </w:style>
  <w:style w:type="character" w:customStyle="1" w:styleId="ListLabel30">
    <w:name w:val="ListLabel 30"/>
    <w:rsid w:val="00895535"/>
    <w:rPr>
      <w:sz w:val="20"/>
    </w:rPr>
  </w:style>
  <w:style w:type="character" w:customStyle="1" w:styleId="ListLabel31">
    <w:name w:val="ListLabel 31"/>
    <w:rsid w:val="00895535"/>
    <w:rPr>
      <w:rFonts w:cs="Courier New"/>
    </w:rPr>
  </w:style>
  <w:style w:type="character" w:customStyle="1" w:styleId="ListLabel32">
    <w:name w:val="ListLabel 32"/>
    <w:rsid w:val="00895535"/>
    <w:rPr>
      <w:rFonts w:cs="Courier New"/>
    </w:rPr>
  </w:style>
  <w:style w:type="character" w:customStyle="1" w:styleId="ListLabel33">
    <w:name w:val="ListLabel 33"/>
    <w:rsid w:val="00895535"/>
    <w:rPr>
      <w:rFonts w:cs="Courier New"/>
    </w:rPr>
  </w:style>
  <w:style w:type="character" w:customStyle="1" w:styleId="ListLabel34">
    <w:name w:val="ListLabel 34"/>
    <w:rsid w:val="00895535"/>
    <w:rPr>
      <w:rFonts w:cs="Courier New"/>
    </w:rPr>
  </w:style>
  <w:style w:type="character" w:customStyle="1" w:styleId="ListLabel35">
    <w:name w:val="ListLabel 35"/>
    <w:rsid w:val="00895535"/>
    <w:rPr>
      <w:rFonts w:cs="Courier New"/>
    </w:rPr>
  </w:style>
  <w:style w:type="character" w:customStyle="1" w:styleId="ListLabel36">
    <w:name w:val="ListLabel 36"/>
    <w:rsid w:val="00895535"/>
    <w:rPr>
      <w:rFonts w:cs="Courier New"/>
    </w:rPr>
  </w:style>
  <w:style w:type="character" w:customStyle="1" w:styleId="ListLabel37">
    <w:name w:val="ListLabel 37"/>
    <w:rsid w:val="00895535"/>
    <w:rPr>
      <w:rFonts w:cs="Courier New"/>
    </w:rPr>
  </w:style>
  <w:style w:type="character" w:customStyle="1" w:styleId="ListLabel38">
    <w:name w:val="ListLabel 38"/>
    <w:rsid w:val="00895535"/>
    <w:rPr>
      <w:rFonts w:cs="Courier New"/>
    </w:rPr>
  </w:style>
  <w:style w:type="character" w:customStyle="1" w:styleId="ListLabel39">
    <w:name w:val="ListLabel 39"/>
    <w:rsid w:val="00895535"/>
    <w:rPr>
      <w:rFonts w:cs="Courier New"/>
    </w:rPr>
  </w:style>
  <w:style w:type="character" w:customStyle="1" w:styleId="ListLabel40">
    <w:name w:val="ListLabel 40"/>
    <w:rsid w:val="00895535"/>
    <w:rPr>
      <w:rFonts w:cs="Courier New"/>
    </w:rPr>
  </w:style>
  <w:style w:type="character" w:customStyle="1" w:styleId="ListLabel41">
    <w:name w:val="ListLabel 41"/>
    <w:rsid w:val="00895535"/>
    <w:rPr>
      <w:rFonts w:cs="Courier New"/>
    </w:rPr>
  </w:style>
  <w:style w:type="character" w:customStyle="1" w:styleId="ListLabel42">
    <w:name w:val="ListLabel 42"/>
    <w:rsid w:val="00895535"/>
    <w:rPr>
      <w:rFonts w:cs="Courier New"/>
    </w:rPr>
  </w:style>
  <w:style w:type="character" w:customStyle="1" w:styleId="ListLabel43">
    <w:name w:val="ListLabel 43"/>
    <w:rsid w:val="00895535"/>
    <w:rPr>
      <w:rFonts w:cs="Courier New"/>
    </w:rPr>
  </w:style>
  <w:style w:type="character" w:customStyle="1" w:styleId="ListLabel44">
    <w:name w:val="ListLabel 44"/>
    <w:rsid w:val="00895535"/>
    <w:rPr>
      <w:rFonts w:cs="Courier New"/>
    </w:rPr>
  </w:style>
  <w:style w:type="character" w:customStyle="1" w:styleId="ListLabel45">
    <w:name w:val="ListLabel 45"/>
    <w:rsid w:val="00895535"/>
    <w:rPr>
      <w:rFonts w:cs="Courier New"/>
    </w:rPr>
  </w:style>
  <w:style w:type="character" w:customStyle="1" w:styleId="ListLabel46">
    <w:name w:val="ListLabel 46"/>
    <w:rsid w:val="00895535"/>
    <w:rPr>
      <w:rFonts w:cs="Courier New"/>
    </w:rPr>
  </w:style>
  <w:style w:type="character" w:customStyle="1" w:styleId="ListLabel47">
    <w:name w:val="ListLabel 47"/>
    <w:rsid w:val="00895535"/>
    <w:rPr>
      <w:rFonts w:cs="Courier New"/>
    </w:rPr>
  </w:style>
  <w:style w:type="character" w:customStyle="1" w:styleId="ListLabel48">
    <w:name w:val="ListLabel 48"/>
    <w:rsid w:val="00895535"/>
    <w:rPr>
      <w:rFonts w:cs="Courier New"/>
    </w:rPr>
  </w:style>
  <w:style w:type="numbering" w:customStyle="1" w:styleId="NoList1">
    <w:name w:val="No List_1"/>
    <w:basedOn w:val="NoList"/>
    <w:rsid w:val="00895535"/>
    <w:pPr>
      <w:numPr>
        <w:numId w:val="1"/>
      </w:numPr>
    </w:pPr>
  </w:style>
  <w:style w:type="numbering" w:customStyle="1" w:styleId="WWNum1">
    <w:name w:val="WWNum1"/>
    <w:basedOn w:val="NoList"/>
    <w:rsid w:val="00895535"/>
    <w:pPr>
      <w:numPr>
        <w:numId w:val="2"/>
      </w:numPr>
    </w:pPr>
  </w:style>
  <w:style w:type="numbering" w:customStyle="1" w:styleId="WWNum2">
    <w:name w:val="WWNum2"/>
    <w:basedOn w:val="NoList"/>
    <w:rsid w:val="00895535"/>
    <w:pPr>
      <w:numPr>
        <w:numId w:val="3"/>
      </w:numPr>
    </w:pPr>
  </w:style>
  <w:style w:type="numbering" w:customStyle="1" w:styleId="WWNum3">
    <w:name w:val="WWNum3"/>
    <w:basedOn w:val="NoList"/>
    <w:rsid w:val="00895535"/>
    <w:pPr>
      <w:numPr>
        <w:numId w:val="4"/>
      </w:numPr>
    </w:pPr>
  </w:style>
  <w:style w:type="numbering" w:customStyle="1" w:styleId="WWNum4">
    <w:name w:val="WWNum4"/>
    <w:basedOn w:val="NoList"/>
    <w:rsid w:val="00895535"/>
    <w:pPr>
      <w:numPr>
        <w:numId w:val="5"/>
      </w:numPr>
    </w:pPr>
  </w:style>
  <w:style w:type="numbering" w:customStyle="1" w:styleId="WWNum5">
    <w:name w:val="WWNum5"/>
    <w:basedOn w:val="NoList"/>
    <w:rsid w:val="00895535"/>
    <w:pPr>
      <w:numPr>
        <w:numId w:val="6"/>
      </w:numPr>
    </w:pPr>
  </w:style>
  <w:style w:type="numbering" w:customStyle="1" w:styleId="WWNum6">
    <w:name w:val="WWNum6"/>
    <w:basedOn w:val="NoList"/>
    <w:rsid w:val="00895535"/>
    <w:pPr>
      <w:numPr>
        <w:numId w:val="7"/>
      </w:numPr>
    </w:pPr>
  </w:style>
  <w:style w:type="numbering" w:customStyle="1" w:styleId="WWNum7">
    <w:name w:val="WWNum7"/>
    <w:basedOn w:val="NoList"/>
    <w:rsid w:val="00895535"/>
    <w:pPr>
      <w:numPr>
        <w:numId w:val="8"/>
      </w:numPr>
    </w:pPr>
  </w:style>
  <w:style w:type="numbering" w:customStyle="1" w:styleId="WWNum8">
    <w:name w:val="WWNum8"/>
    <w:basedOn w:val="NoList"/>
    <w:rsid w:val="00895535"/>
    <w:pPr>
      <w:numPr>
        <w:numId w:val="9"/>
      </w:numPr>
    </w:pPr>
  </w:style>
  <w:style w:type="numbering" w:customStyle="1" w:styleId="WWNum9">
    <w:name w:val="WWNum9"/>
    <w:basedOn w:val="NoList"/>
    <w:rsid w:val="00895535"/>
    <w:pPr>
      <w:numPr>
        <w:numId w:val="10"/>
      </w:numPr>
    </w:pPr>
  </w:style>
  <w:style w:type="numbering" w:customStyle="1" w:styleId="WWNum10">
    <w:name w:val="WWNum10"/>
    <w:basedOn w:val="NoList"/>
    <w:rsid w:val="00895535"/>
    <w:pPr>
      <w:numPr>
        <w:numId w:val="11"/>
      </w:numPr>
    </w:pPr>
  </w:style>
  <w:style w:type="numbering" w:customStyle="1" w:styleId="WWNum11">
    <w:name w:val="WWNum11"/>
    <w:basedOn w:val="NoList"/>
    <w:rsid w:val="00895535"/>
    <w:pPr>
      <w:numPr>
        <w:numId w:val="12"/>
      </w:numPr>
    </w:pPr>
  </w:style>
  <w:style w:type="numbering" w:customStyle="1" w:styleId="WWNum12">
    <w:name w:val="WWNum12"/>
    <w:basedOn w:val="NoList"/>
    <w:rsid w:val="00895535"/>
    <w:pPr>
      <w:numPr>
        <w:numId w:val="13"/>
      </w:numPr>
    </w:pPr>
  </w:style>
  <w:style w:type="numbering" w:customStyle="1" w:styleId="WWNum13">
    <w:name w:val="WWNum13"/>
    <w:basedOn w:val="NoList"/>
    <w:rsid w:val="00895535"/>
    <w:pPr>
      <w:numPr>
        <w:numId w:val="14"/>
      </w:numPr>
    </w:pPr>
  </w:style>
  <w:style w:type="numbering" w:customStyle="1" w:styleId="WWNum14">
    <w:name w:val="WWNum14"/>
    <w:basedOn w:val="NoList"/>
    <w:rsid w:val="00895535"/>
    <w:pPr>
      <w:numPr>
        <w:numId w:val="15"/>
      </w:numPr>
    </w:pPr>
  </w:style>
  <w:style w:type="numbering" w:customStyle="1" w:styleId="WWNum15">
    <w:name w:val="WWNum15"/>
    <w:basedOn w:val="NoList"/>
    <w:rsid w:val="00895535"/>
    <w:pPr>
      <w:numPr>
        <w:numId w:val="16"/>
      </w:numPr>
    </w:pPr>
  </w:style>
  <w:style w:type="numbering" w:customStyle="1" w:styleId="WWNum16">
    <w:name w:val="WWNum16"/>
    <w:basedOn w:val="NoList"/>
    <w:rsid w:val="00895535"/>
    <w:pPr>
      <w:numPr>
        <w:numId w:val="17"/>
      </w:numPr>
    </w:pPr>
  </w:style>
  <w:style w:type="numbering" w:customStyle="1" w:styleId="WWNum17">
    <w:name w:val="WWNum17"/>
    <w:basedOn w:val="NoList"/>
    <w:rsid w:val="00895535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F362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ahad.1112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.fah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MIR</dc:creator>
  <cp:lastModifiedBy>348370422</cp:lastModifiedBy>
  <cp:revision>8</cp:revision>
  <cp:lastPrinted>2012-10-17T12:17:00Z</cp:lastPrinted>
  <dcterms:created xsi:type="dcterms:W3CDTF">2018-02-04T17:30:00Z</dcterms:created>
  <dcterms:modified xsi:type="dcterms:W3CDTF">2018-03-27T15:38:00Z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