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743" w:type="dxa"/>
        <w:tblLook w:val="04A0"/>
      </w:tblPr>
      <w:tblGrid>
        <w:gridCol w:w="2802"/>
        <w:gridCol w:w="8255"/>
      </w:tblGrid>
      <w:tr w:rsidR="00461B7D" w:rsidTr="00EF3AD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61B7D" w:rsidRDefault="00EF3AD8" w:rsidP="00EF3AD8">
            <w:pPr>
              <w:tabs>
                <w:tab w:val="left" w:pos="592"/>
              </w:tabs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29478" cy="1940560"/>
                  <wp:effectExtent l="0" t="0" r="889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91" cy="194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3F" w:rsidRDefault="00536A3F" w:rsidP="00536A3F">
            <w:pPr>
              <w:jc w:val="center"/>
            </w:pPr>
          </w:p>
          <w:p w:rsidR="00536A3F" w:rsidRPr="00EF3AD8" w:rsidRDefault="00EF3AD8" w:rsidP="00536A3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32"/>
              </w:rPr>
            </w:pPr>
            <w:r w:rsidRPr="00EF3AD8">
              <w:rPr>
                <w:rFonts w:ascii="Garamond" w:hAnsi="Garamond"/>
                <w:color w:val="17365D" w:themeColor="text2" w:themeShade="BF"/>
                <w:sz w:val="32"/>
              </w:rPr>
              <w:t>DENMARK</w:t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sz w:val="18"/>
              </w:rPr>
            </w:pPr>
          </w:p>
          <w:p w:rsidR="00FC19EC" w:rsidRPr="00D85674" w:rsidRDefault="00EF3AD8" w:rsidP="00536A3F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D85674">
              <w:rPr>
                <w:rFonts w:ascii="Garamond" w:hAnsi="Garamond"/>
                <w:color w:val="595959" w:themeColor="text1" w:themeTint="A6"/>
                <w:sz w:val="18"/>
              </w:rPr>
              <w:t xml:space="preserve">A Degree Holder of BS in Electronics and Communications Engineering </w:t>
            </w:r>
          </w:p>
          <w:p w:rsidR="00536A3F" w:rsidRPr="00D85674" w:rsidRDefault="00FC19EC" w:rsidP="00536A3F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D85674">
              <w:rPr>
                <w:rFonts w:ascii="Garamond" w:hAnsi="Garamond"/>
                <w:color w:val="595959" w:themeColor="text1" w:themeTint="A6"/>
                <w:sz w:val="18"/>
              </w:rPr>
              <w:t>Cisco Certified Network Professional</w:t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3556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A3F" w:rsidRDefault="00536A3F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18"/>
              <w:gridCol w:w="815"/>
            </w:tblGrid>
            <w:tr w:rsidR="00536A3F" w:rsidTr="00536A3F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6A3F" w:rsidRPr="00FC19EC" w:rsidRDefault="00536A3F" w:rsidP="00536A3F">
                  <w:pPr>
                    <w:jc w:val="center"/>
                    <w:rPr>
                      <w:rFonts w:cstheme="minorHAnsi"/>
                      <w:b/>
                      <w:color w:val="6283B0"/>
                      <w:sz w:val="18"/>
                    </w:rPr>
                  </w:pPr>
                  <w:r w:rsidRPr="00FC19EC">
                    <w:rPr>
                      <w:rFonts w:cstheme="minorHAnsi"/>
                      <w:b/>
                      <w:color w:val="6283B0"/>
                    </w:rPr>
                    <w:t>Profile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536A3F" w:rsidTr="00536A3F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536A3F" w:rsidRDefault="00536A3F" w:rsidP="00536A3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Pr="00D85674" w:rsidRDefault="00FC19EC" w:rsidP="00536A3F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D85674">
              <w:rPr>
                <w:rFonts w:ascii="Garamond" w:hAnsi="Garamond"/>
                <w:color w:val="595959" w:themeColor="text1" w:themeTint="A6"/>
                <w:sz w:val="18"/>
              </w:rPr>
              <w:t xml:space="preserve">Self-motivated, experienced in supporting network infrastructure for multi-user and remote environments. Certified IT Professional experienced in managing projects related to applications and software tools installation and development, migration, end user computing, </w:t>
            </w:r>
            <w:r w:rsidR="00C6579F">
              <w:rPr>
                <w:rFonts w:ascii="Garamond" w:hAnsi="Garamond"/>
                <w:color w:val="595959" w:themeColor="text1" w:themeTint="A6"/>
                <w:sz w:val="18"/>
              </w:rPr>
              <w:t>electronic</w:t>
            </w:r>
            <w:r w:rsidR="00FF5B0A">
              <w:rPr>
                <w:rFonts w:ascii="Garamond" w:hAnsi="Garamond"/>
                <w:color w:val="595959" w:themeColor="text1" w:themeTint="A6"/>
                <w:sz w:val="18"/>
              </w:rPr>
              <w:t>s, telecommunication</w:t>
            </w:r>
            <w:r w:rsidRPr="00D85674">
              <w:rPr>
                <w:rFonts w:ascii="Garamond" w:hAnsi="Garamond"/>
                <w:color w:val="595959" w:themeColor="text1" w:themeTint="A6"/>
                <w:sz w:val="18"/>
              </w:rPr>
              <w:t xml:space="preserve"> and instrumentation.</w:t>
            </w:r>
          </w:p>
          <w:p w:rsidR="0025521B" w:rsidRPr="00536A3F" w:rsidRDefault="0025521B" w:rsidP="00536A3F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922"/>
              <w:gridCol w:w="815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FC19EC" w:rsidRDefault="00C853F4" w:rsidP="00820D9C">
                  <w:pPr>
                    <w:jc w:val="center"/>
                    <w:rPr>
                      <w:rFonts w:cstheme="minorHAnsi"/>
                      <w:b/>
                      <w:color w:val="6283B0"/>
                      <w:sz w:val="18"/>
                    </w:rPr>
                  </w:pPr>
                  <w:r w:rsidRPr="00FC19EC">
                    <w:rPr>
                      <w:rFonts w:cstheme="minorHAnsi"/>
                      <w:b/>
                      <w:color w:val="6283B0"/>
                    </w:rPr>
                    <w:t>C</w:t>
                  </w:r>
                  <w:r w:rsidR="0025521B" w:rsidRPr="00FC19EC">
                    <w:rPr>
                      <w:rFonts w:cstheme="minorHAnsi"/>
                      <w:b/>
                      <w:color w:val="6283B0"/>
                    </w:rPr>
                    <w:t>ontact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25521B" w:rsidRPr="00D85674" w:rsidRDefault="005B742B" w:rsidP="0025521B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>
              <w:rPr>
                <w:rFonts w:ascii="Garamond" w:hAnsi="Garamond"/>
                <w:color w:val="595959" w:themeColor="text1" w:themeTint="A6"/>
                <w:sz w:val="18"/>
              </w:rPr>
              <w:t xml:space="preserve">E-mail: </w:t>
            </w:r>
            <w:hyperlink r:id="rId8" w:history="1">
              <w:r w:rsidRPr="002E116C">
                <w:rPr>
                  <w:rStyle w:val="Hyperlink"/>
                  <w:rFonts w:ascii="Garamond" w:hAnsi="Garamond"/>
                  <w:sz w:val="18"/>
                </w:rPr>
                <w:t>Denmark.383062@2freemail.com</w:t>
              </w:r>
            </w:hyperlink>
            <w:r>
              <w:rPr>
                <w:rFonts w:ascii="Garamond" w:hAnsi="Garamond"/>
                <w:color w:val="595959" w:themeColor="text1" w:themeTint="A6"/>
                <w:sz w:val="18"/>
              </w:rPr>
              <w:t xml:space="preserve"> </w:t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25521B" w:rsidRDefault="0025521B" w:rsidP="00536A3F">
            <w:pPr>
              <w:jc w:val="center"/>
              <w:rPr>
                <w:rFonts w:ascii="Coventry Garden NF" w:hAnsi="Coventry Garden NF"/>
              </w:rPr>
            </w:pPr>
          </w:p>
          <w:p w:rsidR="0025521B" w:rsidRPr="0025521B" w:rsidRDefault="0025521B" w:rsidP="0025521B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21B" w:rsidRDefault="0025521B" w:rsidP="0025521B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15"/>
              <w:gridCol w:w="815"/>
            </w:tblGrid>
            <w:tr w:rsidR="0025521B" w:rsidTr="00820D9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6B482E" w:rsidRDefault="0025521B" w:rsidP="00820D9C">
                  <w:pPr>
                    <w:jc w:val="center"/>
                    <w:rPr>
                      <w:rFonts w:cstheme="minorHAnsi"/>
                      <w:b/>
                      <w:color w:val="6283B0"/>
                      <w:sz w:val="18"/>
                    </w:rPr>
                  </w:pPr>
                  <w:r w:rsidRPr="006B482E">
                    <w:rPr>
                      <w:rFonts w:cstheme="minorHAnsi"/>
                      <w:b/>
                      <w:color w:val="6283B0"/>
                    </w:rPr>
                    <w:t>Skills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  <w:tr w:rsidR="0025521B" w:rsidTr="00820D9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 w:rsidP="00820D9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CERTIFICATION: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CCNA, CCNP (Routing and Switching)</w:t>
            </w:r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OPERATING SYSTEM: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Windows OS,</w:t>
            </w:r>
            <w:r w:rsidR="002B275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Windows Server,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Ubuntu, Red Hat Linux, Solaris</w:t>
            </w:r>
          </w:p>
          <w:p w:rsidR="00D85674" w:rsidRPr="00D85674" w:rsidRDefault="00D85674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NETWORKING/SECURITY HARDWARE: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Cisco Routers 7600, 2800, 2900 series and 3750, Nexus 9000, 7000, 5000, ASR 9000, Cisco Catalyst Switches 6500 series, 2960, 3750, CRS, ASA, </w:t>
            </w:r>
            <w:r w:rsidR="00240ADC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ASDM,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Cisco APs and Meraki cloud, </w:t>
            </w:r>
            <w:r w:rsidR="00240ADC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Cisco DWDM M6, CTC, Fujikura6,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Cisco and Avaya IP Phone,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lastRenderedPageBreak/>
              <w:t>Solarwind</w:t>
            </w:r>
            <w:proofErr w:type="spellEnd"/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ROUTING PROTOCOLS: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TCP/IP, RIP, EIGRP, OSPF, BGP, VPN, MPLS, VRF</w:t>
            </w:r>
          </w:p>
          <w:p w:rsidR="00D85674" w:rsidRPr="00D85674" w:rsidRDefault="00D85674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SYSTEM: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Windows Server, VMware, SDN (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Virtuora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)</w:t>
            </w:r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SOFTWARE APPLICATION: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Microsoft Office, Visio,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AntiVirus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, Adobe Photoshop, FTP Server,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Wireshark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, Putty,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SecureCRT</w:t>
            </w:r>
            <w:proofErr w:type="spellEnd"/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SOFTWARE DEVELOPMENT: 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Visual Basic 6, VBA Excel Macro, Visual Studio, Python</w:t>
            </w:r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FC19EC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ELECTRONIC TESTS INSTRUMENTS: </w:t>
            </w:r>
            <w:r w:rsidRPr="006B482E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Tektronix Network Analyzer,</w:t>
            </w: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 Oscilloscope, Agilent DMM, Function Generators</w:t>
            </w:r>
          </w:p>
          <w:p w:rsidR="00FC19EC" w:rsidRPr="00D85674" w:rsidRDefault="00FC19EC" w:rsidP="00FC19EC">
            <w:pPr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</w:pPr>
          </w:p>
          <w:p w:rsidR="0025521B" w:rsidRPr="00D85674" w:rsidRDefault="00FC19EC" w:rsidP="00FC19EC">
            <w:pPr>
              <w:rPr>
                <w:rFonts w:ascii="Garamond" w:hAnsi="Garamond"/>
                <w:color w:val="595959" w:themeColor="text1" w:themeTint="A6"/>
                <w:sz w:val="16"/>
                <w:szCs w:val="16"/>
              </w:rPr>
            </w:pPr>
            <w:r w:rsidRPr="00D85674">
              <w:rPr>
                <w:rFonts w:ascii="Garamond" w:hAnsi="Garamond"/>
                <w:b/>
                <w:color w:val="595959" w:themeColor="text1" w:themeTint="A6"/>
                <w:sz w:val="16"/>
                <w:szCs w:val="16"/>
              </w:rPr>
              <w:t xml:space="preserve">SEISMIC INSTRUMENTS: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Sercel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SEAL,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Seamap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Gunlink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, IBM 3590 Series, I/O </w:t>
            </w:r>
            <w:proofErr w:type="spellStart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>Digicourse</w:t>
            </w:r>
            <w:proofErr w:type="spellEnd"/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System, VSAT System</w:t>
            </w:r>
          </w:p>
          <w:p w:rsidR="0025521B" w:rsidRPr="00FC19EC" w:rsidRDefault="0025521B" w:rsidP="002B2754">
            <w:pPr>
              <w:rPr>
                <w:rFonts w:ascii="Coventry Garden NF" w:hAnsi="Coventry Garden NF"/>
                <w:sz w:val="16"/>
                <w:szCs w:val="16"/>
              </w:rPr>
            </w:pPr>
            <w:r w:rsidRPr="00D85674">
              <w:rPr>
                <w:rFonts w:ascii="Garamond" w:hAnsi="Garamond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5B742B" w:rsidRDefault="005B742B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5B742B" w:rsidRDefault="005B742B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1679B1" w:rsidRPr="0025521B" w:rsidRDefault="001679B1" w:rsidP="001679B1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79B1" w:rsidRDefault="001679B1" w:rsidP="001679B1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37"/>
              <w:gridCol w:w="1313"/>
              <w:gridCol w:w="636"/>
            </w:tblGrid>
            <w:tr w:rsidR="001679B1" w:rsidTr="007240FF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1679B1" w:rsidRDefault="001679B1" w:rsidP="007240F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79B1" w:rsidRPr="006B482E" w:rsidRDefault="001679B1" w:rsidP="007240FF">
                  <w:pPr>
                    <w:jc w:val="center"/>
                    <w:rPr>
                      <w:rFonts w:cstheme="minorHAnsi"/>
                      <w:b/>
                      <w:color w:val="6283B0"/>
                      <w:sz w:val="18"/>
                    </w:rPr>
                  </w:pPr>
                  <w:r>
                    <w:rPr>
                      <w:rFonts w:cstheme="minorHAnsi"/>
                      <w:b/>
                      <w:color w:val="6283B0"/>
                    </w:rPr>
                    <w:t>Other Information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1679B1" w:rsidRDefault="001679B1" w:rsidP="007240FF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1679B1">
              <w:rPr>
                <w:rFonts w:ascii="Garamond" w:hAnsi="Garamond"/>
                <w:color w:val="595959" w:themeColor="text1" w:themeTint="A6"/>
                <w:sz w:val="18"/>
              </w:rPr>
              <w:t>Now in UAE Using Visit Visa (Validity until October 12,</w:t>
            </w:r>
            <w:r>
              <w:rPr>
                <w:rFonts w:ascii="Garamond" w:hAnsi="Garamond"/>
                <w:color w:val="595959" w:themeColor="text1" w:themeTint="A6"/>
                <w:sz w:val="18"/>
              </w:rPr>
              <w:t xml:space="preserve"> </w:t>
            </w:r>
            <w:r w:rsidRPr="001679B1">
              <w:rPr>
                <w:rFonts w:ascii="Garamond" w:hAnsi="Garamond"/>
                <w:color w:val="595959" w:themeColor="text1" w:themeTint="A6"/>
                <w:sz w:val="18"/>
              </w:rPr>
              <w:t>2018)</w:t>
            </w:r>
          </w:p>
          <w:p w:rsidR="001679B1" w:rsidRDefault="001679B1" w:rsidP="0079295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792950" w:rsidRPr="001679B1" w:rsidRDefault="001679B1" w:rsidP="001679B1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>
              <w:rPr>
                <w:rFonts w:ascii="Garamond" w:hAnsi="Garamond"/>
                <w:color w:val="595959" w:themeColor="text1" w:themeTint="A6"/>
                <w:sz w:val="18"/>
              </w:rPr>
              <w:t>With Valid License from the Philippines – Willing to Con</w:t>
            </w:r>
            <w:r w:rsidR="00C6579F">
              <w:rPr>
                <w:rFonts w:ascii="Garamond" w:hAnsi="Garamond"/>
                <w:color w:val="595959" w:themeColor="text1" w:themeTint="A6"/>
                <w:sz w:val="18"/>
              </w:rPr>
              <w:t>vert in UAE Driver Accreditation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</w:tcPr>
          <w:p w:rsidR="00461B7D" w:rsidRDefault="0025521B" w:rsidP="0025521B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356400" cy="356400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offi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89"/>
              <w:gridCol w:w="3294"/>
            </w:tblGrid>
            <w:tr w:rsidR="0025521B" w:rsidTr="00D85674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521B" w:rsidRPr="00EF3AD8" w:rsidRDefault="0025521B" w:rsidP="002552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3AD8">
                    <w:rPr>
                      <w:rFonts w:ascii="Times New Roman" w:hAnsi="Times New Roman" w:cs="Times New Roman"/>
                      <w:color w:val="6283B0"/>
                    </w:rPr>
                    <w:t>Work Experience</w:t>
                  </w:r>
                </w:p>
              </w:tc>
              <w:tc>
                <w:tcPr>
                  <w:tcW w:w="3583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25521B" w:rsidRDefault="0025521B"/>
              </w:tc>
            </w:tr>
            <w:tr w:rsidR="0025521B" w:rsidTr="00D85674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  <w:tc>
                <w:tcPr>
                  <w:tcW w:w="3583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25521B" w:rsidRDefault="0025521B"/>
              </w:tc>
            </w:tr>
            <w:tr w:rsidR="00C853F4" w:rsidTr="00D85674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D85674" w:rsidRDefault="00EF3AD8">
                  <w:pPr>
                    <w:rPr>
                      <w:rFonts w:ascii="Garamond" w:hAnsi="Garamond"/>
                      <w:color w:val="595959" w:themeColor="text1" w:themeTint="A6"/>
                    </w:rPr>
                  </w:pPr>
                  <w:r w:rsidRPr="00D85674">
                    <w:rPr>
                      <w:rFonts w:ascii="Garamond" w:hAnsi="Garamond"/>
                      <w:color w:val="595959" w:themeColor="text1" w:themeTint="A6"/>
                    </w:rPr>
                    <w:t>Senior Technology Support Engineer</w:t>
                  </w:r>
                </w:p>
                <w:p w:rsidR="00C853F4" w:rsidRPr="00C853F4" w:rsidRDefault="00EF3AD8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Fujitsu Philippines Inc</w:t>
                  </w:r>
                  <w:r w:rsidRPr="00D85674">
                    <w:rPr>
                      <w:rFonts w:ascii="Garamond" w:hAnsi="Garamond"/>
                      <w:color w:val="404040" w:themeColor="text1" w:themeTint="BF"/>
                      <w:sz w:val="18"/>
                    </w:rPr>
                    <w:t>.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85674" w:rsidP="00C853F4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D85674">
                    <w:rPr>
                      <w:rFonts w:ascii="Garamond" w:hAnsi="Garamond"/>
                      <w:color w:val="595959" w:themeColor="text1" w:themeTint="A6"/>
                    </w:rPr>
                    <w:t>November 2016- June 2018</w:t>
                  </w:r>
                </w:p>
              </w:tc>
            </w:tr>
            <w:tr w:rsidR="00C853F4" w:rsidTr="00D85674">
              <w:trPr>
                <w:trHeight w:val="505"/>
              </w:trPr>
              <w:tc>
                <w:tcPr>
                  <w:tcW w:w="77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Providing resolutions to different Service Providers (PLDT/SMART) in troubleshooting different hardware platforms PE/CE routers and switches.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Implementing Method-Of-Operations, upgrading IOSXR/ IOS-XE/ IOS, configuring and migrating network devices in a work campus, corp</w:t>
                  </w:r>
                  <w:r w:rsidR="007417C8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orate buildings and data </w:t>
                  </w:r>
                  <w:r w:rsidR="001E5582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centres</w:t>
                  </w:r>
                </w:p>
                <w:p w:rsidR="00D85674" w:rsidRPr="00D85674" w:rsidRDefault="00D85674" w:rsidP="00D85674">
                  <w:pPr>
                    <w:ind w:right="34"/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Reporting all network status and performed in a preventive maintenance projects to different sites. Sending out reports on device health check, bug scrubbing including recommendations for improvements on device hardware and software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Updating the Know-the-Network report to client emphasizing devices with End-of-Sale and Last-Day-of-Support statuses to remediate client’s network vulnerability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Responding to external and internal correspondence for network resolution and handling client’s request for consultations and troubleshooting network problems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Lead/Assist in the development of bi-hourly report data extractions for instant device health check monitoring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Onsite fault call isolation and parts replacement support like changing ASR’s RSP cards and Nexus Supervisors and other line card needs to be replaced after troubleshooting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Developed an automation system as a customary tool for upgrading the ISP’s network devices and </w:t>
                  </w:r>
                </w:p>
                <w:p w:rsidR="00D8567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integrating Fujitsu’s System Defined Network as to promote Japan’s new network orchestration program</w:t>
                  </w:r>
                </w:p>
                <w:p w:rsidR="00C853F4" w:rsidRPr="00D85674" w:rsidRDefault="00D85674" w:rsidP="00D8567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D8567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Creating MOPs for auto archive of configuration to different cisco device</w:t>
                  </w:r>
                </w:p>
              </w:tc>
            </w:tr>
            <w:tr w:rsidR="00D85674" w:rsidTr="00D85674">
              <w:trPr>
                <w:trHeight w:val="505"/>
              </w:trPr>
              <w:tc>
                <w:tcPr>
                  <w:tcW w:w="77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674" w:rsidRPr="00C853F4" w:rsidRDefault="00D85674" w:rsidP="00C853F4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</w:tc>
            </w:tr>
            <w:tr w:rsidR="00C853F4" w:rsidRPr="00C853F4" w:rsidTr="00D85674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1B" w:rsidRPr="0052121B" w:rsidRDefault="00D85674" w:rsidP="00D85674">
                  <w:pPr>
                    <w:rPr>
                      <w:rFonts w:ascii="Garamond" w:hAnsi="Garamond"/>
                      <w:color w:val="595959" w:themeColor="text1" w:themeTint="A6"/>
                    </w:rPr>
                  </w:pPr>
                  <w:r w:rsidRPr="0052121B">
                    <w:rPr>
                      <w:rFonts w:ascii="Garamond" w:hAnsi="Garamond"/>
                      <w:color w:val="595959" w:themeColor="text1" w:themeTint="A6"/>
                    </w:rPr>
                    <w:t xml:space="preserve">Onsite Network Engineer </w:t>
                  </w:r>
                </w:p>
                <w:p w:rsidR="00C853F4" w:rsidRPr="00C853F4" w:rsidRDefault="0052121B" w:rsidP="0052121B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52121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Trends and Technology Inc.</w:t>
                  </w:r>
                  <w:r w:rsidR="00D85674" w:rsidRPr="0052121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@ TV5 Network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D85674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D85674">
                    <w:rPr>
                      <w:rFonts w:ascii="Garamond" w:hAnsi="Garamond"/>
                      <w:color w:val="595959" w:themeColor="text1" w:themeTint="A6"/>
                    </w:rPr>
                    <w:t xml:space="preserve"> June 2015 – November 2016</w:t>
                  </w:r>
                </w:p>
              </w:tc>
            </w:tr>
            <w:tr w:rsidR="00C853F4" w:rsidRPr="00C853F4" w:rsidTr="00D85674">
              <w:trPr>
                <w:trHeight w:val="505"/>
              </w:trPr>
              <w:tc>
                <w:tcPr>
                  <w:tcW w:w="77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Management, configuration and installation of Cisco devices/IOS– routers &amp; switches, port tracing and network troubleshooting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Implementing routing and redundancy protocols, VLANs, Spanning-Tree, LACP, OSPF, HSRP, BGP and VSS Configurations;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Troubleshooting/Monitoring </w:t>
                  </w:r>
                  <w:proofErr w:type="spellStart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Fiber</w:t>
                  </w:r>
                  <w:proofErr w:type="spellEnd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Technology Dense Wavelength Division Multiplexing with experience using CTC (Cisco Transport Controller) and </w:t>
                  </w:r>
                  <w:proofErr w:type="spellStart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Fiber</w:t>
                  </w:r>
                  <w:proofErr w:type="spellEnd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Monitoring System (Fujikura ver6).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Documenting network topologies for clients and creating network diagram to an implemented network system; Re-routing/assigning Policy Based Routing and ACLs to routers and L3 switches d/t clients reques</w:t>
                  </w:r>
                  <w:r w:rsidR="00342220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t or failover to divert any data traffic or certain network 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Assigning and configuring IP multicasts streamed to different network in TV5’s different offices</w:t>
                  </w:r>
                </w:p>
                <w:p w:rsidR="001D2FA4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Analysing network capability using </w:t>
                  </w:r>
                  <w:proofErr w:type="spellStart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Solarwind</w:t>
                  </w:r>
                  <w:proofErr w:type="spellEnd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for device management and network fault monitoring including SPAN configuration (Port Mirroring) and Wireshark appl</w:t>
                  </w:r>
                  <w:r w:rsidR="00A6377A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ication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Supervising Cisco ASA 5525  Firewall with ASDM management tool and administering network group to its designated route</w:t>
                  </w:r>
                  <w:r w:rsidR="008336B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and to </w:t>
                  </w:r>
                  <w:r w:rsidR="006B7DB5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use VPN for encrypted remote network management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Structure cabling and deploying Cisco APs like the Air Cap and Meraki APs, with management and security checking using WLC and Meraki Cloud 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Installing, troubleshooting and interconnecting Cisco and Avaya IP Phone to cisco switches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Assists 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FOC personnel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for new infrastructure, migration and during troubleshooting 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Implementi</w:t>
                  </w:r>
                  <w:r w:rsidR="00D1500E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ng MOP (like UDLD implementation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) within maintenance window to 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remediate any network problem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at designated network device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Performed preventive maintenance during non-working days (cleaning, rectifying line obstructions and configuration changes for non-active ports)</w:t>
                  </w:r>
                </w:p>
                <w:p w:rsidR="00C853F4" w:rsidRPr="00F448CF" w:rsidRDefault="00F448CF" w:rsidP="002E434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="002E434C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Device recovery and upgrading Cisco Routers/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Switches for recommended IOS versions</w:t>
                  </w:r>
                </w:p>
              </w:tc>
            </w:tr>
          </w:tbl>
          <w:p w:rsidR="00C853F4" w:rsidRDefault="00C853F4"/>
          <w:p w:rsidR="0052121B" w:rsidRDefault="0052121B"/>
          <w:tbl>
            <w:tblPr>
              <w:tblStyle w:val="TableGrid"/>
              <w:tblW w:w="0" w:type="auto"/>
              <w:tblLook w:val="04A0"/>
            </w:tblPr>
            <w:tblGrid>
              <w:gridCol w:w="4428"/>
              <w:gridCol w:w="3294"/>
            </w:tblGrid>
            <w:tr w:rsidR="00C853F4" w:rsidRPr="00C853F4" w:rsidTr="00D85674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8CF" w:rsidRDefault="00F448CF" w:rsidP="00F448CF">
                  <w:pPr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Seismic </w:t>
                  </w:r>
                  <w:r w:rsidR="008336BB">
                    <w:rPr>
                      <w:rFonts w:ascii="Garamond" w:hAnsi="Garamond"/>
                      <w:color w:val="595959" w:themeColor="text1" w:themeTint="A6"/>
                    </w:rPr>
                    <w:t>Chief</w:t>
                  </w:r>
                  <w:r>
                    <w:rPr>
                      <w:rFonts w:ascii="Garamond" w:hAnsi="Garamond"/>
                      <w:color w:val="595959" w:themeColor="text1" w:themeTint="A6"/>
                    </w:rPr>
                    <w:t>/Shift Leader Operation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</w:pPr>
                  <w:r w:rsidRPr="00F448CF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 xml:space="preserve">Seismic( 2D/3D) Companies </w:t>
                  </w:r>
                  <w:r w:rsidR="00EB2574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- International</w:t>
                  </w:r>
                </w:p>
                <w:p w:rsidR="00C853F4" w:rsidRPr="00F448CF" w:rsidRDefault="00F448CF" w:rsidP="00EB2574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r w:rsidRPr="00F448CF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 xml:space="preserve">Seabird </w:t>
                  </w:r>
                  <w:r w:rsidR="008336B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Exploration/</w:t>
                  </w:r>
                  <w:proofErr w:type="spellStart"/>
                  <w:r w:rsidR="008336B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Wavefield</w:t>
                  </w:r>
                  <w:proofErr w:type="spellEnd"/>
                  <w:r w:rsidR="008336B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336BB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Inseis</w:t>
                  </w:r>
                  <w:proofErr w:type="spellEnd"/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F448CF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F448CF">
                    <w:rPr>
                      <w:rFonts w:ascii="Garamond" w:hAnsi="Garamond"/>
                      <w:color w:val="595959" w:themeColor="text1" w:themeTint="A6"/>
                    </w:rPr>
                    <w:t>February 2006 -  February 2015</w:t>
                  </w:r>
                </w:p>
              </w:tc>
            </w:tr>
            <w:tr w:rsidR="00C853F4" w:rsidRPr="00C853F4" w:rsidTr="00D85674">
              <w:trPr>
                <w:trHeight w:val="505"/>
              </w:trPr>
              <w:tc>
                <w:tcPr>
                  <w:tcW w:w="77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Pr="00C853F4" w:rsidRDefault="00C853F4" w:rsidP="00820D9C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•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Oversees technical implementation and execution of seismic acquisition plots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Sets up seismic acquisition and source controller system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a thorough understanding of Local Area Networking within the whole campus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depth keeping devices, hydrophone cables and acquisition modules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a thorough understanding of the basics behind the Internet and its workings (DNS, Security, HTTP, etc.)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Supervising the administration of network systems, servers, CCTV, satellite system and other related network to ensure availability of services to authorized users.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Troubleshooting malfunctions of network hardware and software applications, telephones and security systems to resolve operational issues and restore services.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lastRenderedPageBreak/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Provides support for ongoing and recurring IT security audits of system 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Designing, testi</w:t>
                  </w:r>
                  <w:bookmarkStart w:id="0" w:name="_GoBack"/>
                  <w:bookmarkEnd w:id="0"/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ng, installing and monitoring new systems 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="000E05C3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Analysing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IT requirements within departments and giving independent and objective advice on the use of Information Technology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and administering the Server for navigation and seismic data storage.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Making necessary adjustments on the system to enhance the security of files data.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Oversee the daily performance of computer systems (Blades, IBM/HP Computers and Servers)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Ensure proper installation of cables, operating systems and software.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Maintaining records of daily data communication transactions, problems and remedial actions taken.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Refer major hardware and software problems and defective products to vendors or technicians for service.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Escalating unresolved issues to appropriate level.</w:t>
                  </w:r>
                </w:p>
                <w:p w:rsidR="00F448CF" w:rsidRPr="00F448CF" w:rsidRDefault="00F448CF" w:rsidP="00F448C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Ensure proper release and maintenance of all systems</w:t>
                  </w:r>
                </w:p>
                <w:p w:rsidR="00C853F4" w:rsidRDefault="00F448CF" w:rsidP="0052121B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•</w:t>
                  </w:r>
                  <w:r w:rsidR="0052121B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  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Set up staff workstations with PCs, phones and laptops</w:t>
                  </w:r>
                  <w:r w:rsidR="002B2754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 xml:space="preserve"> of different clients</w:t>
                  </w:r>
                  <w:r w:rsidRPr="00F448CF">
                    <w:rPr>
                      <w:rFonts w:ascii="Garamond" w:hAnsi="Garamond"/>
                      <w:color w:val="7F7F7F" w:themeColor="text1" w:themeTint="80"/>
                      <w:sz w:val="18"/>
                    </w:rPr>
                    <w:t>.</w:t>
                  </w:r>
                </w:p>
                <w:p w:rsidR="0052121B" w:rsidRDefault="0052121B" w:rsidP="0052121B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52121B" w:rsidRDefault="0052121B" w:rsidP="0052121B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299"/>
                    <w:gridCol w:w="3207"/>
                  </w:tblGrid>
                  <w:tr w:rsidR="0052121B" w:rsidRPr="00C853F4" w:rsidTr="007240FF">
                    <w:trPr>
                      <w:trHeight w:val="505"/>
                    </w:trPr>
                    <w:tc>
                      <w:tcPr>
                        <w:tcW w:w="44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121B" w:rsidRDefault="0052121B" w:rsidP="007240FF">
                        <w:pPr>
                          <w:rPr>
                            <w:rFonts w:ascii="Garamond" w:hAnsi="Garamond"/>
                            <w:color w:val="595959" w:themeColor="text1" w:themeTint="A6"/>
                          </w:rPr>
                        </w:pPr>
                        <w:r w:rsidRPr="0052121B">
                          <w:rPr>
                            <w:rFonts w:ascii="Garamond" w:hAnsi="Garamond"/>
                            <w:color w:val="595959" w:themeColor="text1" w:themeTint="A6"/>
                          </w:rPr>
                          <w:t>R &amp; D Test Engineer</w:t>
                        </w:r>
                      </w:p>
                      <w:p w:rsidR="0052121B" w:rsidRPr="00F448CF" w:rsidRDefault="0052121B" w:rsidP="007240FF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52121B">
                          <w:rPr>
                            <w:rFonts w:ascii="Garamond" w:hAnsi="Garamond"/>
                            <w:color w:val="595959" w:themeColor="text1" w:themeTint="A6"/>
                            <w:sz w:val="18"/>
                            <w:szCs w:val="18"/>
                          </w:rPr>
                          <w:t>ROHM LSI Design Philippines</w:t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121B" w:rsidRPr="00C853F4" w:rsidRDefault="0052121B" w:rsidP="007240FF">
                        <w:pPr>
                          <w:jc w:val="right"/>
                          <w:rPr>
                            <w:rFonts w:ascii="Garamond" w:hAnsi="Garamond"/>
                            <w:color w:val="7F7F7F" w:themeColor="text1" w:themeTint="80"/>
                          </w:rPr>
                        </w:pPr>
                        <w:r w:rsidRPr="0052121B">
                          <w:rPr>
                            <w:rFonts w:ascii="Garamond" w:hAnsi="Garamond"/>
                            <w:color w:val="595959" w:themeColor="text1" w:themeTint="A6"/>
                          </w:rPr>
                          <w:t>February 2003 - January 2006</w:t>
                        </w:r>
                      </w:p>
                    </w:tc>
                  </w:tr>
                  <w:tr w:rsidR="0052121B" w:rsidRPr="00C853F4" w:rsidTr="007240FF">
                    <w:trPr>
                      <w:trHeight w:val="505"/>
                    </w:trPr>
                    <w:tc>
                      <w:tcPr>
                        <w:tcW w:w="77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2121B" w:rsidRPr="00C853F4" w:rsidRDefault="0052121B" w:rsidP="007240FF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Evaluating Integrated Circuit designs specifically motor drivers and power regulators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Researching and developing test modules in a multi-IC tests environment for final evaluations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Designing PCB (Printed Circuit Board) for circuit module developing testing using EAGLE software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Assembling circuit modules with different test parameters for an Integrated Circuit testing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Developing software using Hewlett Packard Virtual Engineering Environment for multi testing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Customizing a graphical representation test report developed with Excel VBA for automated evaluation documentary report</w:t>
                        </w:r>
                      </w:p>
                      <w:p w:rsidR="0052121B" w:rsidRPr="0052121B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Developing a GUI software tool eliminating manual test operations</w:t>
                        </w:r>
                      </w:p>
                      <w:p w:rsidR="0052121B" w:rsidRPr="00F448CF" w:rsidRDefault="0052121B" w:rsidP="0052121B">
                        <w:pP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 xml:space="preserve">•   </w:t>
                        </w:r>
                        <w:r w:rsidRPr="0052121B">
                          <w:rPr>
                            <w:rFonts w:ascii="Garamond" w:hAnsi="Garamond"/>
                            <w:color w:val="7F7F7F" w:themeColor="text1" w:themeTint="80"/>
                            <w:sz w:val="18"/>
                          </w:rPr>
                          <w:t>Joins the Japanese development team in scripting different evaluation parameters to excel and integrating different test instruments and relay switching for multi-purpose test environment</w:t>
                        </w:r>
                      </w:p>
                    </w:tc>
                  </w:tr>
                </w:tbl>
                <w:p w:rsidR="0052121B" w:rsidRPr="00F448CF" w:rsidRDefault="0052121B" w:rsidP="0052121B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</w:tc>
            </w:tr>
          </w:tbl>
          <w:p w:rsidR="00C853F4" w:rsidRDefault="00C853F4" w:rsidP="00C853F4">
            <w:pPr>
              <w:jc w:val="center"/>
            </w:pPr>
          </w:p>
          <w:p w:rsidR="00C853F4" w:rsidRDefault="00C853F4" w:rsidP="00C853F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359"/>
              <w:gridCol w:w="289"/>
              <w:gridCol w:w="3294"/>
            </w:tblGrid>
            <w:tr w:rsidR="00C853F4" w:rsidTr="001173A9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3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53F4" w:rsidRPr="0052121B" w:rsidRDefault="00C853F4" w:rsidP="00C853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121B">
                    <w:rPr>
                      <w:rFonts w:ascii="Times New Roman" w:hAnsi="Times New Roman" w:cs="Times New Roman"/>
                      <w:color w:val="6283B0"/>
                    </w:rPr>
                    <w:t>Education</w:t>
                  </w:r>
                  <w:r w:rsidR="001173A9">
                    <w:rPr>
                      <w:rFonts w:ascii="Times New Roman" w:hAnsi="Times New Roman" w:cs="Times New Roman"/>
                      <w:color w:val="6283B0"/>
                    </w:rPr>
                    <w:t xml:space="preserve"> &amp; Trainings</w:t>
                  </w:r>
                </w:p>
              </w:tc>
              <w:tc>
                <w:tcPr>
                  <w:tcW w:w="3583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C853F4" w:rsidRDefault="00C853F4" w:rsidP="00820D9C"/>
              </w:tc>
            </w:tr>
            <w:tr w:rsidR="00C853F4" w:rsidTr="001173A9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23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  <w:tc>
                <w:tcPr>
                  <w:tcW w:w="3583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C853F4" w:rsidRDefault="00C853F4" w:rsidP="00820D9C"/>
              </w:tc>
            </w:tr>
            <w:tr w:rsidR="006B482E" w:rsidRPr="00C853F4" w:rsidTr="001173A9">
              <w:trPr>
                <w:trHeight w:val="505"/>
              </w:trPr>
              <w:tc>
                <w:tcPr>
                  <w:tcW w:w="4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Pr="00210CDB" w:rsidRDefault="006B482E" w:rsidP="007240FF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210CDB">
                    <w:rPr>
                      <w:rFonts w:ascii="Garamond" w:hAnsi="Garamond"/>
                      <w:color w:val="7F7F7F" w:themeColor="text1" w:themeTint="80"/>
                    </w:rPr>
                    <w:t xml:space="preserve">Bachelor of Science in Electronics 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and Communications </w:t>
                  </w:r>
                  <w:r w:rsidRPr="00210CDB">
                    <w:rPr>
                      <w:rFonts w:ascii="Garamond" w:hAnsi="Garamond"/>
                      <w:color w:val="7F7F7F" w:themeColor="text1" w:themeTint="80"/>
                    </w:rPr>
                    <w:t>Engineering</w:t>
                  </w:r>
                </w:p>
                <w:p w:rsidR="006B482E" w:rsidRPr="006B482E" w:rsidRDefault="006B482E" w:rsidP="007240FF">
                  <w:pPr>
                    <w:rPr>
                      <w:rFonts w:ascii="Garamond" w:hAnsi="Garamond"/>
                      <w:i/>
                      <w:color w:val="7F7F7F" w:themeColor="text1" w:themeTint="80"/>
                    </w:rPr>
                  </w:pPr>
                  <w:proofErr w:type="spellStart"/>
                  <w:r w:rsidRPr="006B482E">
                    <w:rPr>
                      <w:rFonts w:ascii="Garamond" w:hAnsi="Garamond"/>
                      <w:i/>
                      <w:color w:val="7F7F7F" w:themeColor="text1" w:themeTint="80"/>
                    </w:rPr>
                    <w:t>Colegio</w:t>
                  </w:r>
                  <w:proofErr w:type="spellEnd"/>
                  <w:r w:rsidRPr="006B482E">
                    <w:rPr>
                      <w:rFonts w:ascii="Garamond" w:hAnsi="Garamond"/>
                      <w:i/>
                      <w:color w:val="7F7F7F" w:themeColor="text1" w:themeTint="80"/>
                    </w:rPr>
                    <w:t xml:space="preserve"> de </w:t>
                  </w:r>
                  <w:proofErr w:type="spellStart"/>
                  <w:r w:rsidRPr="006B482E">
                    <w:rPr>
                      <w:rFonts w:ascii="Garamond" w:hAnsi="Garamond"/>
                      <w:i/>
                      <w:color w:val="7F7F7F" w:themeColor="text1" w:themeTint="80"/>
                    </w:rPr>
                    <w:t>Dagupan</w:t>
                  </w:r>
                  <w:proofErr w:type="spellEnd"/>
                </w:p>
                <w:p w:rsidR="006B482E" w:rsidRPr="00210CDB" w:rsidRDefault="006B482E" w:rsidP="007240FF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Pangasinan</w:t>
                  </w:r>
                  <w:proofErr w:type="spellEnd"/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 xml:space="preserve">, Philippines </w:t>
                  </w:r>
                </w:p>
                <w:p w:rsidR="006B482E" w:rsidRDefault="006B482E" w:rsidP="007240FF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First 2 Years</w:t>
                  </w:r>
                  <w:r w:rsidRPr="00210CDB"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 xml:space="preserve"> Dean’s Lister</w:t>
                  </w:r>
                </w:p>
                <w:p w:rsidR="006B482E" w:rsidRDefault="006B482E" w:rsidP="007240FF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Second Year Academic Scholar</w:t>
                  </w:r>
                </w:p>
                <w:p w:rsidR="006B482E" w:rsidRPr="00C853F4" w:rsidRDefault="006B482E" w:rsidP="007240F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Pr="00210CDB" w:rsidRDefault="006B482E" w:rsidP="007240FF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210CDB">
                    <w:rPr>
                      <w:rFonts w:ascii="Garamond" w:hAnsi="Garamond"/>
                      <w:color w:val="7F7F7F" w:themeColor="text1" w:themeTint="80"/>
                    </w:rPr>
                    <w:t>1997-2002</w:t>
                  </w:r>
                </w:p>
              </w:tc>
            </w:tr>
            <w:tr w:rsidR="006B482E" w:rsidRPr="00C853F4" w:rsidTr="001173A9">
              <w:trPr>
                <w:trHeight w:val="505"/>
              </w:trPr>
              <w:tc>
                <w:tcPr>
                  <w:tcW w:w="4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Pr="006B482E" w:rsidRDefault="006B482E" w:rsidP="00720644">
                  <w:pPr>
                    <w:jc w:val="center"/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Default="006B482E" w:rsidP="00820D9C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</w:p>
              </w:tc>
            </w:tr>
            <w:tr w:rsidR="006B482E" w:rsidTr="001173A9">
              <w:trPr>
                <w:trHeight w:val="505"/>
              </w:trPr>
              <w:tc>
                <w:tcPr>
                  <w:tcW w:w="47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Pr="006B482E" w:rsidRDefault="006B482E" w:rsidP="006B482E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proofErr w:type="spellStart"/>
                  <w:r w:rsidRPr="006B482E">
                    <w:rPr>
                      <w:rFonts w:ascii="Garamond" w:hAnsi="Garamond"/>
                      <w:color w:val="7F7F7F" w:themeColor="text1" w:themeTint="80"/>
                    </w:rPr>
                    <w:t>RedHat</w:t>
                  </w:r>
                  <w:proofErr w:type="spellEnd"/>
                  <w:r w:rsidRPr="006B482E">
                    <w:rPr>
                      <w:rFonts w:ascii="Garamond" w:hAnsi="Garamond"/>
                      <w:color w:val="7F7F7F" w:themeColor="text1" w:themeTint="80"/>
                    </w:rPr>
                    <w:t xml:space="preserve"> Linux Essentials</w:t>
                  </w:r>
                </w:p>
                <w:p w:rsidR="006B482E" w:rsidRPr="006B482E" w:rsidRDefault="00534B7C" w:rsidP="006B482E">
                  <w:pPr>
                    <w:rPr>
                      <w:rFonts w:ascii="Garamond" w:hAnsi="Garamond"/>
                      <w:i/>
                      <w:color w:val="7F7F7F" w:themeColor="text1" w:themeTint="80"/>
                    </w:rPr>
                  </w:pPr>
                  <w:proofErr w:type="spellStart"/>
                  <w:r w:rsidRPr="00534B7C">
                    <w:rPr>
                      <w:rFonts w:ascii="Garamond" w:hAnsi="Garamond"/>
                      <w:i/>
                      <w:color w:val="7F7F7F" w:themeColor="text1" w:themeTint="80"/>
                    </w:rPr>
                    <w:t>RedHat</w:t>
                  </w:r>
                  <w:proofErr w:type="spellEnd"/>
                  <w:r w:rsidRPr="00534B7C">
                    <w:rPr>
                      <w:rFonts w:ascii="Garamond" w:hAnsi="Garamond"/>
                      <w:i/>
                      <w:color w:val="7F7F7F" w:themeColor="text1" w:themeTint="80"/>
                    </w:rPr>
                    <w:t xml:space="preserve"> Asia Pacific</w:t>
                  </w:r>
                </w:p>
                <w:p w:rsidR="006B482E" w:rsidRPr="006B482E" w:rsidRDefault="006B482E" w:rsidP="006B482E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r w:rsidRPr="006B482E"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Quezon City, Philippines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82E" w:rsidRDefault="00BA610F" w:rsidP="00BA610F">
                  <w:pPr>
                    <w:jc w:val="center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                                    </w:t>
                  </w:r>
                  <w:r w:rsidR="006B482E">
                    <w:rPr>
                      <w:rFonts w:ascii="Garamond" w:hAnsi="Garamond"/>
                      <w:color w:val="7F7F7F" w:themeColor="text1" w:themeTint="80"/>
                    </w:rPr>
                    <w:t>2009</w:t>
                  </w:r>
                </w:p>
              </w:tc>
            </w:tr>
          </w:tbl>
          <w:p w:rsidR="00F606DC" w:rsidRDefault="00F606DC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F606DC" w:rsidRDefault="00F606DC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720644" w:rsidRDefault="00720644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720644" w:rsidRDefault="00720644" w:rsidP="00C853F4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428"/>
              <w:gridCol w:w="3294"/>
            </w:tblGrid>
            <w:tr w:rsidR="00720644" w:rsidTr="00CE304B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644" w:rsidRPr="006B482E" w:rsidRDefault="00720644" w:rsidP="00CE304B">
                  <w:pPr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6B482E">
                    <w:rPr>
                      <w:rFonts w:ascii="Garamond" w:hAnsi="Garamond"/>
                      <w:color w:val="7F7F7F" w:themeColor="text1" w:themeTint="80"/>
                    </w:rPr>
                    <w:t xml:space="preserve">CISCO Certified Network Associate </w:t>
                  </w:r>
                </w:p>
                <w:p w:rsidR="00720644" w:rsidRPr="006B482E" w:rsidRDefault="00720644" w:rsidP="00CE304B">
                  <w:pPr>
                    <w:rPr>
                      <w:rFonts w:ascii="Garamond" w:hAnsi="Garamond"/>
                      <w:i/>
                      <w:color w:val="7F7F7F" w:themeColor="text1" w:themeTint="80"/>
                    </w:rPr>
                  </w:pPr>
                  <w:r w:rsidRPr="006B482E">
                    <w:rPr>
                      <w:rFonts w:ascii="Garamond" w:hAnsi="Garamond"/>
                      <w:i/>
                      <w:color w:val="7F7F7F" w:themeColor="text1" w:themeTint="80"/>
                    </w:rPr>
                    <w:t xml:space="preserve">University of the Philippines Information Technology Training </w:t>
                  </w:r>
                  <w:proofErr w:type="spellStart"/>
                  <w:r w:rsidRPr="006B482E">
                    <w:rPr>
                      <w:rFonts w:ascii="Garamond" w:hAnsi="Garamond"/>
                      <w:i/>
                      <w:color w:val="7F7F7F" w:themeColor="text1" w:themeTint="80"/>
                    </w:rPr>
                    <w:t>Center</w:t>
                  </w:r>
                  <w:proofErr w:type="spellEnd"/>
                </w:p>
                <w:p w:rsidR="00720644" w:rsidRPr="006B482E" w:rsidRDefault="00720644" w:rsidP="00CE304B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Quez</w:t>
                  </w:r>
                  <w:r w:rsidRPr="006B482E"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on City, Philippines</w:t>
                  </w:r>
                </w:p>
              </w:tc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644" w:rsidRDefault="00720644" w:rsidP="00CE304B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2010</w:t>
                  </w:r>
                </w:p>
              </w:tc>
            </w:tr>
          </w:tbl>
          <w:p w:rsidR="00720644" w:rsidRDefault="00720644" w:rsidP="00720644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720644" w:rsidRDefault="00720644" w:rsidP="00720644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720644" w:rsidRDefault="00720644" w:rsidP="00720644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tbl>
            <w:tblPr>
              <w:tblStyle w:val="TableGrid"/>
              <w:tblW w:w="7728" w:type="dxa"/>
              <w:tblLook w:val="04A0"/>
            </w:tblPr>
            <w:tblGrid>
              <w:gridCol w:w="6021"/>
              <w:gridCol w:w="1707"/>
            </w:tblGrid>
            <w:tr w:rsidR="00CB275D" w:rsidTr="00720644">
              <w:trPr>
                <w:trHeight w:val="505"/>
              </w:trPr>
              <w:tc>
                <w:tcPr>
                  <w:tcW w:w="60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09" w:rsidRDefault="00831209" w:rsidP="00831209">
                  <w:pPr>
                    <w:tabs>
                      <w:tab w:val="left" w:pos="2057"/>
                    </w:tabs>
                    <w:rPr>
                      <w:rFonts w:ascii="Garamond" w:hAnsi="Garamond"/>
                      <w:color w:val="7F7F7F" w:themeColor="text1" w:themeTint="80"/>
                    </w:rPr>
                  </w:pPr>
                  <w:r w:rsidRPr="00831209">
                    <w:rPr>
                      <w:rFonts w:ascii="Garamond" w:hAnsi="Garamond"/>
                      <w:color w:val="7F7F7F" w:themeColor="text1" w:themeTint="80"/>
                    </w:rPr>
                    <w:t>Cisco ONS 15454 Series Multiservice Provisioning Platforms</w:t>
                  </w:r>
                </w:p>
                <w:p w:rsidR="00185ADF" w:rsidRDefault="00185ADF" w:rsidP="00831209">
                  <w:pPr>
                    <w:tabs>
                      <w:tab w:val="left" w:pos="2057"/>
                    </w:tabs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(</w:t>
                  </w:r>
                  <w:r w:rsidRPr="00185ADF">
                    <w:rPr>
                      <w:rFonts w:ascii="Garamond" w:hAnsi="Garamond"/>
                      <w:color w:val="7F7F7F" w:themeColor="text1" w:themeTint="80"/>
                    </w:rPr>
                    <w:t>Dense Wave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length</w:t>
                  </w:r>
                  <w:r w:rsidRPr="00185ADF">
                    <w:rPr>
                      <w:rFonts w:ascii="Garamond" w:hAnsi="Garamond"/>
                      <w:color w:val="7F7F7F" w:themeColor="text1" w:themeTint="80"/>
                    </w:rPr>
                    <w:t xml:space="preserve"> Division Multiplexing</w:t>
                  </w:r>
                  <w:r>
                    <w:rPr>
                      <w:rFonts w:ascii="Garamond" w:hAnsi="Garamond"/>
                      <w:color w:val="7F7F7F" w:themeColor="text1" w:themeTint="80"/>
                    </w:rPr>
                    <w:t>)</w:t>
                  </w:r>
                </w:p>
                <w:p w:rsidR="00831209" w:rsidRPr="006B482E" w:rsidRDefault="00831209" w:rsidP="00720644">
                  <w:pPr>
                    <w:tabs>
                      <w:tab w:val="left" w:pos="2057"/>
                    </w:tabs>
                    <w:ind w:right="-385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 xml:space="preserve">TV5 Network /Trends &amp; Technology </w:t>
                  </w:r>
                  <w:r w:rsidR="00720644">
                    <w:rPr>
                      <w:rFonts w:ascii="Garamond" w:hAnsi="Garamond"/>
                      <w:color w:val="7F7F7F" w:themeColor="text1" w:themeTint="80"/>
                    </w:rPr>
                    <w:t>Inc. – Internal KT Training</w:t>
                  </w:r>
                </w:p>
                <w:p w:rsidR="00CB275D" w:rsidRPr="006B482E" w:rsidRDefault="00720644" w:rsidP="00CE304B">
                  <w:pPr>
                    <w:rPr>
                      <w:rFonts w:ascii="Garamond" w:hAnsi="Garamond"/>
                      <w:i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i/>
                      <w:color w:val="7F7F7F" w:themeColor="text1" w:themeTint="80"/>
                    </w:rPr>
                    <w:t>TV5 Network Company</w:t>
                  </w:r>
                </w:p>
                <w:p w:rsidR="00CB275D" w:rsidRPr="006B482E" w:rsidRDefault="00720644" w:rsidP="00CE304B">
                  <w:pP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Novaliches</w:t>
                  </w:r>
                  <w:proofErr w:type="spellEnd"/>
                  <w:r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 xml:space="preserve">, </w:t>
                  </w:r>
                  <w:r w:rsidR="00CB275D" w:rsidRPr="006B482E">
                    <w:rPr>
                      <w:rFonts w:ascii="Garamond" w:hAnsi="Garamond"/>
                      <w:color w:val="7F7F7F" w:themeColor="text1" w:themeTint="80"/>
                      <w:sz w:val="18"/>
                      <w:szCs w:val="18"/>
                    </w:rPr>
                    <w:t>Philippines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275D" w:rsidRDefault="00831209" w:rsidP="00831209">
                  <w:pPr>
                    <w:jc w:val="right"/>
                    <w:rPr>
                      <w:rFonts w:ascii="Garamond" w:hAnsi="Garamond"/>
                      <w:color w:val="7F7F7F" w:themeColor="text1" w:themeTint="80"/>
                    </w:rPr>
                  </w:pPr>
                  <w:r>
                    <w:rPr>
                      <w:rFonts w:ascii="Garamond" w:hAnsi="Garamond"/>
                      <w:color w:val="7F7F7F" w:themeColor="text1" w:themeTint="80"/>
                    </w:rPr>
                    <w:t>2016</w:t>
                  </w:r>
                </w:p>
              </w:tc>
            </w:tr>
          </w:tbl>
          <w:p w:rsidR="00C853F4" w:rsidRDefault="00C853F4" w:rsidP="00F606DC"/>
        </w:tc>
      </w:tr>
    </w:tbl>
    <w:p w:rsidR="002149CB" w:rsidRDefault="002149CB" w:rsidP="001173A9">
      <w:pPr>
        <w:rPr>
          <w:rFonts w:ascii="Arial" w:eastAsia="MS Mincho" w:hAnsi="Arial" w:cs="Arial"/>
          <w:color w:val="000000"/>
          <w:sz w:val="20"/>
          <w:szCs w:val="20"/>
        </w:rPr>
      </w:pPr>
    </w:p>
    <w:sectPr w:rsidR="002149CB" w:rsidSect="00D8567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ventry Garden NF">
    <w:altName w:val="MV Boli"/>
    <w:charset w:val="00"/>
    <w:family w:val="roman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6.35pt;height:36.35pt;visibility:visible;mso-wrap-style:square" o:bullet="t">
        <v:imagedata r:id="rId1" o:title=""/>
      </v:shape>
    </w:pict>
  </w:numPicBullet>
  <w:abstractNum w:abstractNumId="0">
    <w:nsid w:val="2A9A0FCA"/>
    <w:multiLevelType w:val="hybridMultilevel"/>
    <w:tmpl w:val="D078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461B7D"/>
    <w:rsid w:val="000E05C3"/>
    <w:rsid w:val="000F3B97"/>
    <w:rsid w:val="001173A9"/>
    <w:rsid w:val="00121C5B"/>
    <w:rsid w:val="001577BE"/>
    <w:rsid w:val="001679B1"/>
    <w:rsid w:val="00185ADF"/>
    <w:rsid w:val="001C3DB3"/>
    <w:rsid w:val="001D2FA4"/>
    <w:rsid w:val="001E5582"/>
    <w:rsid w:val="00210CDB"/>
    <w:rsid w:val="002124DE"/>
    <w:rsid w:val="002149CB"/>
    <w:rsid w:val="00240ADC"/>
    <w:rsid w:val="00244545"/>
    <w:rsid w:val="00246F23"/>
    <w:rsid w:val="0025521B"/>
    <w:rsid w:val="002B2754"/>
    <w:rsid w:val="002E434C"/>
    <w:rsid w:val="002F6687"/>
    <w:rsid w:val="00342220"/>
    <w:rsid w:val="00461B7D"/>
    <w:rsid w:val="0052121B"/>
    <w:rsid w:val="00534B7C"/>
    <w:rsid w:val="00536A3F"/>
    <w:rsid w:val="005A771A"/>
    <w:rsid w:val="005B742B"/>
    <w:rsid w:val="00654DB2"/>
    <w:rsid w:val="006B482E"/>
    <w:rsid w:val="006B7DB5"/>
    <w:rsid w:val="00706E65"/>
    <w:rsid w:val="00720644"/>
    <w:rsid w:val="007417C8"/>
    <w:rsid w:val="00792950"/>
    <w:rsid w:val="00831209"/>
    <w:rsid w:val="008336BB"/>
    <w:rsid w:val="008914A0"/>
    <w:rsid w:val="008D3AB6"/>
    <w:rsid w:val="00914C59"/>
    <w:rsid w:val="00942FFF"/>
    <w:rsid w:val="00A6377A"/>
    <w:rsid w:val="00B313E9"/>
    <w:rsid w:val="00B520E6"/>
    <w:rsid w:val="00B969D3"/>
    <w:rsid w:val="00BA610F"/>
    <w:rsid w:val="00C6579F"/>
    <w:rsid w:val="00C853F4"/>
    <w:rsid w:val="00CB275D"/>
    <w:rsid w:val="00D03065"/>
    <w:rsid w:val="00D1500E"/>
    <w:rsid w:val="00D85674"/>
    <w:rsid w:val="00EB2574"/>
    <w:rsid w:val="00EB404A"/>
    <w:rsid w:val="00ED5316"/>
    <w:rsid w:val="00EF3AD8"/>
    <w:rsid w:val="00F448CF"/>
    <w:rsid w:val="00F606DC"/>
    <w:rsid w:val="00FC19EC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mark.38306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348370422</cp:lastModifiedBy>
  <cp:revision>43</cp:revision>
  <cp:lastPrinted>2018-08-10T21:55:00Z</cp:lastPrinted>
  <dcterms:created xsi:type="dcterms:W3CDTF">2018-08-02T15:35:00Z</dcterms:created>
  <dcterms:modified xsi:type="dcterms:W3CDTF">2018-09-26T13:34:00Z</dcterms:modified>
</cp:coreProperties>
</file>